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宋体" w:eastAsia="黑体"/>
          <w:lang w:eastAsia="zh-CN"/>
        </w:rPr>
      </w:pPr>
      <w:r>
        <w:rPr>
          <w:rFonts w:hint="eastAsia" w:ascii="黑体" w:hAnsi="宋体" w:eastAsia="黑体"/>
        </w:rPr>
        <w:t>附件</w:t>
      </w:r>
      <w:r>
        <w:rPr>
          <w:rFonts w:hint="eastAsia" w:ascii="黑体" w:hAnsi="宋体" w:eastAsia="黑体"/>
          <w:lang w:val="en-US" w:eastAsia="zh-CN"/>
        </w:rPr>
        <w:t>5</w:t>
      </w:r>
    </w:p>
    <w:p>
      <w:pPr>
        <w:jc w:val="center"/>
        <w:rPr>
          <w:rFonts w:ascii="仿宋_GB2312" w:hAnsi="宋体" w:eastAsia="仿宋_GB2312"/>
          <w:sz w:val="30"/>
          <w:szCs w:val="30"/>
        </w:rPr>
      </w:pPr>
    </w:p>
    <w:p>
      <w:pPr>
        <w:jc w:val="center"/>
        <w:rPr>
          <w:rFonts w:ascii="仿宋_GB2312" w:hAnsi="宋体" w:eastAsia="仿宋_GB2312"/>
          <w:sz w:val="30"/>
          <w:szCs w:val="30"/>
        </w:rPr>
      </w:pPr>
    </w:p>
    <w:p>
      <w:pPr>
        <w:pStyle w:val="9"/>
        <w:widowControl w:val="0"/>
        <w:overflowPunct w:val="0"/>
        <w:spacing w:before="0" w:beforeAutospacing="0" w:after="0" w:afterAutospacing="0" w:line="800" w:lineRule="exact"/>
        <w:jc w:val="center"/>
        <w:rPr>
          <w:rFonts w:ascii="方正小标宋简体" w:hAnsi="方正小标宋简体" w:eastAsia="方正小标宋简体" w:cs="方正小标宋简体"/>
          <w:bCs/>
          <w:snapToGrid w:val="0"/>
          <w:color w:val="000000"/>
          <w:sz w:val="52"/>
          <w:szCs w:val="52"/>
        </w:rPr>
      </w:pPr>
      <w:r>
        <w:rPr>
          <w:rFonts w:hint="eastAsia" w:ascii="方正小标宋简体" w:hAnsi="方正小标宋简体" w:eastAsia="方正小标宋简体" w:cs="方正小标宋简体"/>
          <w:bCs/>
          <w:snapToGrid w:val="0"/>
          <w:color w:val="000000"/>
          <w:sz w:val="52"/>
          <w:szCs w:val="52"/>
        </w:rPr>
        <w:t>山东省资源综合利用先进单位</w:t>
      </w:r>
    </w:p>
    <w:p>
      <w:pPr>
        <w:pStyle w:val="9"/>
        <w:widowControl w:val="0"/>
        <w:overflowPunct w:val="0"/>
        <w:spacing w:before="0" w:beforeAutospacing="0" w:after="0" w:afterAutospacing="0" w:line="800" w:lineRule="exact"/>
        <w:jc w:val="center"/>
        <w:rPr>
          <w:rFonts w:ascii="方正小标宋简体" w:hAnsi="方正小标宋简体" w:eastAsia="方正小标宋简体" w:cs="方正小标宋简体"/>
          <w:bCs/>
          <w:snapToGrid w:val="0"/>
          <w:color w:val="000000"/>
          <w:sz w:val="52"/>
          <w:szCs w:val="52"/>
        </w:rPr>
      </w:pPr>
      <w:r>
        <w:rPr>
          <w:rFonts w:hint="eastAsia" w:ascii="方正小标宋简体" w:hAnsi="方正小标宋简体" w:eastAsia="方正小标宋简体" w:cs="方正小标宋简体"/>
          <w:bCs/>
          <w:snapToGrid w:val="0"/>
          <w:color w:val="000000"/>
          <w:sz w:val="52"/>
          <w:szCs w:val="52"/>
        </w:rPr>
        <w:t>推荐审批表</w:t>
      </w: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both"/>
        <w:rPr>
          <w:rFonts w:ascii="楷体_GB2312" w:hAnsi="宋体" w:eastAsia="楷体_GB2312"/>
          <w:sz w:val="36"/>
          <w:szCs w:val="36"/>
        </w:rPr>
      </w:pPr>
    </w:p>
    <w:p>
      <w:pPr>
        <w:pStyle w:val="8"/>
      </w:pPr>
    </w:p>
    <w:p>
      <w:pPr>
        <w:jc w:val="center"/>
        <w:rPr>
          <w:rFonts w:ascii="楷体_GB2312" w:hAnsi="宋体" w:eastAsia="楷体_GB2312"/>
          <w:sz w:val="36"/>
          <w:szCs w:val="36"/>
        </w:rPr>
      </w:pPr>
    </w:p>
    <w:p>
      <w:pPr>
        <w:ind w:firstLine="1656" w:firstLineChars="600"/>
        <w:jc w:val="left"/>
        <w:rPr>
          <w:rFonts w:hint="default" w:ascii="仿宋_GB2312" w:hAnsi="宋体" w:eastAsia="仿宋_GB2312"/>
          <w:sz w:val="28"/>
          <w:szCs w:val="28"/>
          <w:u w:val="single"/>
          <w:lang w:val="en-US" w:eastAsia="zh-CN"/>
        </w:rPr>
      </w:pPr>
      <w:r>
        <w:rPr>
          <w:rFonts w:hint="eastAsia" w:ascii="仿宋_GB2312" w:hAnsi="宋体" w:eastAsia="仿宋_GB2312"/>
          <w:sz w:val="28"/>
          <w:szCs w:val="28"/>
        </w:rPr>
        <w:t>单位名称</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阳谷县发展和改革局</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p>
    <w:p>
      <w:pPr>
        <w:ind w:firstLine="1656" w:firstLineChars="600"/>
        <w:jc w:val="left"/>
        <w:rPr>
          <w:rFonts w:hint="default" w:ascii="仿宋_GB2312" w:hAnsi="宋体" w:eastAsia="仿宋_GB2312"/>
          <w:sz w:val="28"/>
          <w:szCs w:val="28"/>
          <w:u w:val="single"/>
          <w:lang w:val="en-US" w:eastAsia="zh-CN"/>
        </w:rPr>
      </w:pPr>
      <w:r>
        <w:rPr>
          <w:rFonts w:hint="eastAsia" w:ascii="仿宋_GB2312" w:hAnsi="宋体" w:eastAsia="仿宋_GB2312"/>
          <w:sz w:val="28"/>
          <w:szCs w:val="28"/>
        </w:rPr>
        <w:t>推荐单位</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阳谷县工业和信息化局</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p>
    <w:p>
      <w:pPr>
        <w:jc w:val="center"/>
        <w:rPr>
          <w:rFonts w:ascii="楷体_GB2312" w:hAnsi="宋体" w:eastAsia="楷体_GB2312"/>
        </w:rPr>
      </w:pPr>
      <w:r>
        <w:rPr>
          <w:rFonts w:hint="eastAsia" w:ascii="宋体" w:hAnsi="宋体"/>
          <w:sz w:val="36"/>
          <w:szCs w:val="36"/>
          <w:lang w:val="en-US" w:eastAsia="zh-CN"/>
        </w:rPr>
        <w:t xml:space="preserve">    </w:t>
      </w:r>
      <w:r>
        <w:rPr>
          <w:rFonts w:hint="eastAsia" w:ascii="仿宋_GB2312" w:hAnsi="宋体" w:eastAsia="仿宋_GB2312"/>
          <w:sz w:val="28"/>
          <w:szCs w:val="28"/>
          <w:u w:val="single"/>
          <w:lang w:val="en-US" w:eastAsia="zh-CN"/>
        </w:rPr>
        <w:t xml:space="preserve">   阳谷县</w:t>
      </w:r>
      <w:r>
        <w:rPr>
          <w:rFonts w:hint="eastAsia" w:ascii="仿宋_GB2312" w:hAnsi="宋体" w:eastAsia="仿宋_GB2312"/>
          <w:sz w:val="28"/>
          <w:szCs w:val="28"/>
          <w:u w:val="single"/>
          <w:lang w:eastAsia="zh-CN"/>
        </w:rPr>
        <w:t>人力资源和社会保障局</w:t>
      </w:r>
    </w:p>
    <w:p>
      <w:pPr>
        <w:ind w:firstLine="2848" w:firstLineChars="800"/>
        <w:rPr>
          <w:rFonts w:hint="default" w:ascii="宋体" w:hAnsi="宋体" w:eastAsia="宋体"/>
          <w:sz w:val="36"/>
          <w:szCs w:val="36"/>
          <w:lang w:val="en-US" w:eastAsia="zh-CN"/>
        </w:rPr>
      </w:pPr>
    </w:p>
    <w:p>
      <w:pPr>
        <w:ind w:firstLine="2848" w:firstLineChars="800"/>
        <w:rPr>
          <w:rFonts w:ascii="宋体" w:hAnsi="宋体"/>
          <w:sz w:val="36"/>
          <w:szCs w:val="36"/>
        </w:rPr>
      </w:pPr>
    </w:p>
    <w:p>
      <w:pPr>
        <w:jc w:val="center"/>
        <w:rPr>
          <w:rFonts w:ascii="宋体" w:hAnsi="宋体"/>
          <w:sz w:val="36"/>
          <w:szCs w:val="36"/>
        </w:rPr>
      </w:pPr>
      <w:r>
        <w:rPr>
          <w:rFonts w:hint="eastAsia" w:ascii="仿宋_GB2312" w:hAnsi="仿宋_GB2312" w:eastAsia="仿宋_GB2312" w:cs="仿宋_GB2312"/>
          <w:lang w:val="en-US" w:eastAsia="zh-CN"/>
        </w:rPr>
        <w:t xml:space="preserve">                     </w:t>
      </w:r>
      <w:r>
        <w:rPr>
          <w:rFonts w:hint="eastAsia" w:ascii="仿宋_GB2312" w:hAnsi="宋体" w:eastAsia="仿宋_GB2312"/>
          <w:sz w:val="28"/>
          <w:szCs w:val="28"/>
          <w:u w:val="none"/>
          <w:lang w:val="en-US" w:eastAsia="zh-CN"/>
        </w:rPr>
        <w:t>2022年11月4日</w:t>
      </w:r>
    </w:p>
    <w:p>
      <w:pPr>
        <w:jc w:val="center"/>
        <w:rPr>
          <w:rFonts w:ascii="黑体" w:hAnsi="宋体" w:eastAsia="黑体"/>
          <w:sz w:val="44"/>
          <w:szCs w:val="44"/>
        </w:rPr>
      </w:pPr>
      <w:r>
        <w:rPr>
          <w:rFonts w:hint="eastAsia" w:ascii="黑体" w:hAnsi="宋体" w:eastAsia="黑体"/>
          <w:sz w:val="44"/>
          <w:szCs w:val="44"/>
        </w:rPr>
        <w:t>填表说明</w:t>
      </w:r>
    </w:p>
    <w:p>
      <w:pPr>
        <w:rPr>
          <w:rFonts w:ascii="仿宋_GB2312" w:hAnsi="宋体" w:eastAsia="仿宋_GB2312"/>
        </w:rPr>
      </w:pPr>
      <w:r>
        <w:rPr>
          <w:rFonts w:hint="eastAsia" w:ascii="仿宋_GB2312" w:hAnsi="宋体" w:eastAsia="仿宋_GB2312"/>
        </w:rPr>
        <w:t xml:space="preserve">   </w:t>
      </w:r>
    </w:p>
    <w:p>
      <w:pPr>
        <w:tabs>
          <w:tab w:val="left" w:pos="0"/>
        </w:tabs>
        <w:ind w:firstLine="632" w:firstLineChars="200"/>
        <w:rPr>
          <w:rFonts w:ascii="仿宋_GB2312" w:hAnsi="宋体" w:eastAsia="仿宋_GB2312"/>
        </w:rPr>
      </w:pPr>
      <w:r>
        <w:rPr>
          <w:rFonts w:hint="eastAsia" w:ascii="仿宋_GB2312" w:hAnsi="宋体" w:eastAsia="仿宋_GB2312"/>
        </w:rPr>
        <w:t>一、</w:t>
      </w:r>
      <w:r>
        <w:rPr>
          <w:rFonts w:hint="eastAsia" w:ascii="仿宋_GB2312" w:eastAsia="仿宋_GB2312" w:cs="仿宋_GB2312"/>
          <w:snapToGrid w:val="0"/>
          <w:color w:val="000000"/>
          <w:szCs w:val="22"/>
        </w:rPr>
        <w:t>本表用打印方式填写，</w:t>
      </w:r>
      <w:r>
        <w:rPr>
          <w:rFonts w:hint="eastAsia" w:ascii="仿宋_GB2312" w:hAnsi="宋体" w:eastAsia="仿宋_GB2312"/>
        </w:rPr>
        <w:t>使用仿宋小四号字体，数字统一用阿拉伯数字。</w:t>
      </w:r>
    </w:p>
    <w:p>
      <w:pPr>
        <w:tabs>
          <w:tab w:val="left" w:pos="0"/>
        </w:tabs>
        <w:ind w:firstLine="632" w:firstLineChars="200"/>
        <w:rPr>
          <w:rFonts w:ascii="仿宋_GB2312" w:hAnsi="宋体" w:eastAsia="仿宋_GB2312"/>
        </w:rPr>
      </w:pPr>
      <w:r>
        <w:rPr>
          <w:rFonts w:hint="eastAsia" w:ascii="仿宋_GB2312" w:hAnsi="宋体" w:eastAsia="仿宋_GB2312"/>
        </w:rPr>
        <w:t>二、单位名称必须准确，所属单位填写全称，单位性质选填机关、事业单位、国有企业、集体企业、国有控股企业、民营企业、合资企业或其他。</w:t>
      </w:r>
    </w:p>
    <w:p>
      <w:pPr>
        <w:tabs>
          <w:tab w:val="left" w:pos="0"/>
        </w:tabs>
        <w:ind w:firstLine="632" w:firstLineChars="200"/>
        <w:rPr>
          <w:rFonts w:ascii="仿宋_GB2312" w:hAnsi="宋体" w:eastAsia="仿宋_GB2312"/>
        </w:rPr>
      </w:pPr>
      <w:r>
        <w:rPr>
          <w:rFonts w:hint="eastAsia" w:ascii="仿宋_GB2312" w:hAnsi="宋体" w:eastAsia="仿宋_GB2312"/>
        </w:rPr>
        <w:t>三、资源综合利用工作主要事迹和成果力求简明扼要，重点突出，条理清楚，字数要求2000字左右，可另行附页。</w:t>
      </w:r>
    </w:p>
    <w:p>
      <w:pPr>
        <w:rPr>
          <w:rFonts w:ascii="楷体_GB2312" w:hAnsi="宋体" w:eastAsia="楷体_GB2312"/>
        </w:rPr>
      </w:pPr>
      <w:bookmarkStart w:id="0" w:name="_GoBack"/>
      <w:bookmarkEnd w:id="0"/>
    </w:p>
    <w:p>
      <w:pPr>
        <w:jc w:val="center"/>
        <w:rPr>
          <w:rFonts w:ascii="楷体_GB2312" w:hAnsi="宋体" w:eastAsia="楷体_GB2312"/>
        </w:rPr>
      </w:pPr>
    </w:p>
    <w:p>
      <w:pPr>
        <w:spacing w:line="360" w:lineRule="auto"/>
        <w:jc w:val="center"/>
        <w:rPr>
          <w:rFonts w:ascii="楷体_GB2312" w:hAnsi="宋体" w:eastAsia="楷体_GB2312"/>
          <w:sz w:val="36"/>
          <w:szCs w:val="36"/>
        </w:rPr>
      </w:pPr>
    </w:p>
    <w:p>
      <w:pPr>
        <w:widowControl/>
        <w:spacing w:line="360" w:lineRule="auto"/>
        <w:jc w:val="left"/>
        <w:rPr>
          <w:rFonts w:ascii="楷体_GB2312" w:hAnsi="宋体" w:eastAsia="楷体_GB2312"/>
          <w:sz w:val="36"/>
          <w:szCs w:val="36"/>
        </w:rPr>
        <w:sectPr>
          <w:footerReference r:id="rId3" w:type="default"/>
          <w:pgSz w:w="11906" w:h="16838"/>
          <w:pgMar w:top="2098" w:right="1531" w:bottom="1814" w:left="1531" w:header="851" w:footer="1588" w:gutter="0"/>
          <w:pgNumType w:fmt="numberInDash"/>
          <w:cols w:space="720" w:num="1"/>
          <w:docGrid w:type="linesAndChars" w:linePitch="587" w:charSpace="-849"/>
        </w:sectPr>
      </w:pPr>
    </w:p>
    <w:tbl>
      <w:tblPr>
        <w:tblStyle w:val="10"/>
        <w:tblW w:w="87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6"/>
        <w:gridCol w:w="2890"/>
        <w:gridCol w:w="1731"/>
        <w:gridCol w:w="2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单位名称</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阳谷县发展和改革局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单位性质</w:t>
            </w:r>
          </w:p>
        </w:tc>
        <w:tc>
          <w:tcPr>
            <w:tcW w:w="28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机关</w:t>
            </w:r>
          </w:p>
        </w:tc>
        <w:tc>
          <w:tcPr>
            <w:tcW w:w="173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人数</w:t>
            </w:r>
          </w:p>
        </w:tc>
        <w:tc>
          <w:tcPr>
            <w:tcW w:w="263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主要负责人</w:t>
            </w:r>
          </w:p>
        </w:tc>
        <w:tc>
          <w:tcPr>
            <w:tcW w:w="28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袁朝蓬</w:t>
            </w:r>
          </w:p>
        </w:tc>
        <w:tc>
          <w:tcPr>
            <w:tcW w:w="173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联系人及电话</w:t>
            </w:r>
          </w:p>
        </w:tc>
        <w:tc>
          <w:tcPr>
            <w:tcW w:w="263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徐浩15163509902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eastAsia="仿宋_GB2312"/>
                <w:sz w:val="24"/>
              </w:rPr>
              <w:t>电子邮箱</w:t>
            </w:r>
          </w:p>
        </w:tc>
        <w:tc>
          <w:tcPr>
            <w:tcW w:w="28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ygxjhj@126.com</w:t>
            </w:r>
          </w:p>
        </w:tc>
        <w:tc>
          <w:tcPr>
            <w:tcW w:w="173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地址及邮编</w:t>
            </w:r>
          </w:p>
        </w:tc>
        <w:tc>
          <w:tcPr>
            <w:tcW w:w="263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振兴路11号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eastAsia="仿宋_GB2312"/>
                <w:sz w:val="24"/>
              </w:rPr>
            </w:pPr>
            <w:r>
              <w:rPr>
                <w:rFonts w:hint="eastAsia" w:ascii="仿宋_GB2312" w:eastAsia="仿宋_GB2312"/>
                <w:sz w:val="24"/>
              </w:rPr>
              <w:t>拟授予称号</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szCs w:val="24"/>
              </w:rPr>
            </w:pPr>
            <w:r>
              <w:rPr>
                <w:rFonts w:hint="eastAsia" w:ascii="仿宋_GB2312" w:hAnsi="仿宋_GB2312" w:eastAsia="仿宋_GB2312" w:cs="仿宋_GB2312"/>
                <w:sz w:val="24"/>
                <w:szCs w:val="24"/>
              </w:rPr>
              <w:t>山东省</w:t>
            </w:r>
            <w:r>
              <w:rPr>
                <w:rFonts w:hint="eastAsia" w:ascii="仿宋_GB2312" w:eastAsia="仿宋_GB2312"/>
                <w:sz w:val="24"/>
                <w:szCs w:val="24"/>
              </w:rPr>
              <w:t>资源综合利用先进单位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单位简介</w:t>
            </w:r>
          </w:p>
          <w:p>
            <w:pPr>
              <w:spacing w:line="440" w:lineRule="exact"/>
              <w:jc w:val="center"/>
              <w:rPr>
                <w:rFonts w:ascii="仿宋_GB2312" w:hAnsi="宋体" w:eastAsia="仿宋_GB2312"/>
                <w:sz w:val="24"/>
              </w:rPr>
            </w:pPr>
            <w:r>
              <w:rPr>
                <w:rFonts w:hint="eastAsia" w:ascii="仿宋_GB2312" w:hAnsi="宋体" w:eastAsia="仿宋_GB2312"/>
                <w:sz w:val="24"/>
              </w:rPr>
              <w:t>（300字）</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480" w:firstLineChars="200"/>
              <w:rPr>
                <w:rFonts w:ascii="仿宋_GB2312" w:hAnsi="宋体" w:eastAsia="仿宋_GB2312"/>
                <w:sz w:val="24"/>
              </w:rPr>
            </w:pPr>
            <w:r>
              <w:rPr>
                <w:rFonts w:hint="eastAsia" w:ascii="仿宋_GB2312" w:hAnsi="宋体" w:eastAsia="仿宋_GB2312"/>
                <w:sz w:val="24"/>
                <w:lang w:val="en-US" w:eastAsia="zh-CN"/>
              </w:rPr>
              <w:t>阳谷县发展和改革局（加挂阳谷县新旧动能转换综合试验区建设办公室、阳谷县地方金融监督管理局牌子），是提出全县国民经济和社会发展战略、发展规划、总量平衡、结构调整的经济综合管理部门。始终把打造一支“政治强、业务精、作风硬”的队伍放在重要位置，加强“学习型、创新型、实干型、服务型、廉洁型”机关建设，全局上下保持了高昂的斗志和务实的作风，圆满完成了各项重大任务，多次得到省、市和县委、县政府的充分肯定和大力表扬，连年被授予“山东省优秀价格监测定点单位”“县级文明单位”“全县新闻报道工作先进单位”“先进基层党组织”等荣誉称号。2021年，经阳谷县发展和改革局牵头争取，阳谷县被省政府评为全省10个、全市唯一的“2020年度全省高质量发展进步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主要事迹和成果（2000字）</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近年来，阳谷县发展和改革局认真践行绿色发展理念，始终坚持节约优先、守正创新，结合部门职能，在绿色低碳发展、能源结构优化、资源利用效率提升等领域取得明显成效，为加快推进资源节约型社会建设做出了积极贡献。</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仿宋_GB2312" w:hAnsi="仿宋_GB2312" w:eastAsia="仿宋_GB2312" w:cs="仿宋_GB2312"/>
                <w:color w:val="auto"/>
                <w:sz w:val="24"/>
                <w:szCs w:val="24"/>
                <w:lang w:val="en-US" w:eastAsia="zh-CN"/>
              </w:rPr>
            </w:pPr>
            <w:r>
              <w:rPr>
                <w:rFonts w:hint="eastAsia" w:ascii="黑体" w:hAnsi="黑体" w:eastAsia="黑体" w:cs="黑体"/>
                <w:b w:val="0"/>
                <w:bCs w:val="0"/>
                <w:color w:val="auto"/>
                <w:sz w:val="24"/>
                <w:szCs w:val="24"/>
                <w:lang w:val="en-US" w:eastAsia="zh-CN"/>
              </w:rPr>
              <w:t>一、狠抓节能降耗管理，助推资源节约增效。</w:t>
            </w:r>
            <w:r>
              <w:rPr>
                <w:rFonts w:hint="eastAsia" w:ascii="仿宋_GB2312" w:hAnsi="仿宋_GB2312" w:eastAsia="仿宋_GB2312" w:cs="仿宋_GB2312"/>
                <w:color w:val="auto"/>
                <w:sz w:val="24"/>
                <w:szCs w:val="24"/>
                <w:lang w:val="en-US" w:eastAsia="zh-CN"/>
              </w:rPr>
              <w:t>全县</w:t>
            </w:r>
            <w:r>
              <w:rPr>
                <w:rFonts w:hint="eastAsia" w:ascii="仿宋_GB2312" w:hAnsi="仿宋_GB2312" w:eastAsia="仿宋_GB2312" w:cs="仿宋_GB2312"/>
                <w:color w:val="auto"/>
                <w:sz w:val="24"/>
                <w:szCs w:val="24"/>
                <w:lang w:eastAsia="zh-CN"/>
              </w:rPr>
              <w:t>经济总量的快速增长和</w:t>
            </w:r>
            <w:r>
              <w:rPr>
                <w:rFonts w:hint="eastAsia" w:ascii="仿宋_GB2312" w:hAnsi="仿宋_GB2312" w:eastAsia="仿宋_GB2312" w:cs="仿宋_GB2312"/>
                <w:color w:val="auto"/>
                <w:sz w:val="24"/>
                <w:szCs w:val="24"/>
              </w:rPr>
              <w:t>规模以上企业</w:t>
            </w:r>
            <w:r>
              <w:rPr>
                <w:rFonts w:hint="eastAsia" w:ascii="仿宋_GB2312" w:hAnsi="仿宋_GB2312" w:eastAsia="仿宋_GB2312" w:cs="仿宋_GB2312"/>
                <w:color w:val="auto"/>
                <w:sz w:val="24"/>
                <w:szCs w:val="24"/>
                <w:lang w:eastAsia="zh-CN"/>
              </w:rPr>
              <w:t>数量的</w:t>
            </w:r>
            <w:r>
              <w:rPr>
                <w:rFonts w:hint="eastAsia" w:ascii="仿宋_GB2312" w:hAnsi="仿宋_GB2312" w:eastAsia="仿宋_GB2312" w:cs="仿宋_GB2312"/>
                <w:color w:val="auto"/>
                <w:sz w:val="24"/>
                <w:szCs w:val="24"/>
                <w:lang w:val="en-US" w:eastAsia="zh-CN"/>
              </w:rPr>
              <w:t>逐年增加</w:t>
            </w:r>
            <w:r>
              <w:rPr>
                <w:rFonts w:hint="eastAsia" w:ascii="仿宋_GB2312" w:hAnsi="仿宋_GB2312" w:eastAsia="仿宋_GB2312" w:cs="仿宋_GB2312"/>
                <w:color w:val="auto"/>
                <w:sz w:val="24"/>
                <w:szCs w:val="24"/>
                <w:lang w:eastAsia="zh-CN"/>
              </w:rPr>
              <w:t>不可避免地会对能源产生新的需求。</w:t>
            </w:r>
            <w:r>
              <w:rPr>
                <w:rFonts w:hint="eastAsia" w:ascii="仿宋_GB2312" w:hAnsi="仿宋_GB2312" w:eastAsia="仿宋_GB2312" w:cs="仿宋_GB2312"/>
                <w:color w:val="auto"/>
                <w:sz w:val="24"/>
                <w:szCs w:val="24"/>
                <w:lang w:val="en-US" w:eastAsia="zh-CN"/>
              </w:rPr>
              <w:t>新上项目的同时，既要保证高质量发展还要守住约束底线，这对我们在处理发展和安全的把握上提出了新的挑战。</w:t>
            </w:r>
            <w:r>
              <w:rPr>
                <w:rFonts w:hint="eastAsia" w:ascii="仿宋_GB2312" w:hAnsi="仿宋_GB2312" w:eastAsia="仿宋_GB2312" w:cs="仿宋_GB2312"/>
                <w:b/>
                <w:bCs/>
                <w:color w:val="auto"/>
                <w:sz w:val="24"/>
                <w:szCs w:val="24"/>
                <w:lang w:val="en-US" w:eastAsia="zh-CN"/>
              </w:rPr>
              <w:t>节能降耗提质增效。</w:t>
            </w:r>
            <w:r>
              <w:rPr>
                <w:rFonts w:hint="eastAsia" w:ascii="仿宋_GB2312" w:hAnsi="仿宋_GB2312" w:eastAsia="仿宋_GB2312" w:cs="仿宋_GB2312"/>
                <w:b w:val="0"/>
                <w:bCs w:val="0"/>
                <w:color w:val="auto"/>
                <w:sz w:val="24"/>
                <w:szCs w:val="24"/>
                <w:lang w:val="en-US" w:eastAsia="zh-CN"/>
              </w:rPr>
              <w:t>县发展改革局严格落实目标责任，结合年度目标任务，综合考虑节能责任、节能潜力、节能节奏、节能能力四个方面，将目标任务分解到重点行业和重点用能单位，采取年初部署、年中督导、年底考核制度，压实能耗“双控”目标责任。同时，实施动态调控，会同县统计局、县工信局加强能源消费统计分析，确保能耗“双控”指标在可控范围内运行。</w:t>
            </w:r>
            <w:r>
              <w:rPr>
                <w:rFonts w:hint="eastAsia" w:ascii="仿宋_GB2312" w:hAnsi="仿宋_GB2312" w:eastAsia="仿宋_GB2312" w:cs="仿宋_GB2312"/>
                <w:color w:val="auto"/>
                <w:sz w:val="24"/>
                <w:szCs w:val="24"/>
              </w:rPr>
              <w:t>我县“十三五”期间</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地区</w:t>
            </w:r>
            <w:r>
              <w:rPr>
                <w:rFonts w:hint="eastAsia" w:ascii="仿宋_GB2312" w:hAnsi="仿宋_GB2312" w:eastAsia="仿宋_GB2312" w:cs="仿宋_GB2312"/>
                <w:color w:val="auto"/>
                <w:sz w:val="24"/>
                <w:szCs w:val="24"/>
                <w:lang w:eastAsia="zh-CN"/>
              </w:rPr>
              <w:t>生产总值年均增长4.57%，共实施重点项目242个，总投资937亿元，其中纳入省新旧动能转换重点项目12个，占全市总量的1/4，波米电子科技、金蔡伦纸机改造等一大批高科技项目蓬勃发展，</w:t>
            </w:r>
            <w:r>
              <w:rPr>
                <w:rFonts w:hint="eastAsia" w:ascii="仿宋_GB2312" w:hAnsi="仿宋_GB2312" w:eastAsia="仿宋_GB2312" w:cs="仿宋_GB2312"/>
                <w:color w:val="auto"/>
                <w:sz w:val="24"/>
                <w:szCs w:val="24"/>
              </w:rPr>
              <w:t>万元GDP能耗下降率为23.03%</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超额完成了</w:t>
            </w:r>
            <w:r>
              <w:rPr>
                <w:rFonts w:hint="eastAsia" w:ascii="仿宋_GB2312" w:hAnsi="仿宋_GB2312" w:eastAsia="仿宋_GB2312" w:cs="仿宋_GB2312"/>
                <w:color w:val="auto"/>
                <w:sz w:val="24"/>
                <w:szCs w:val="24"/>
                <w:lang w:val="en-US" w:eastAsia="zh-CN"/>
              </w:rPr>
              <w:t>下降</w:t>
            </w:r>
            <w:r>
              <w:rPr>
                <w:rFonts w:hint="eastAsia" w:ascii="仿宋_GB2312" w:hAnsi="仿宋_GB2312" w:eastAsia="仿宋_GB2312" w:cs="仿宋_GB2312"/>
                <w:color w:val="auto"/>
                <w:sz w:val="24"/>
                <w:szCs w:val="24"/>
              </w:rPr>
              <w:t>19%</w:t>
            </w:r>
            <w:r>
              <w:rPr>
                <w:rFonts w:hint="eastAsia" w:ascii="仿宋_GB2312" w:hAnsi="仿宋_GB2312" w:eastAsia="仿宋_GB2312" w:cs="仿宋_GB2312"/>
                <w:color w:val="auto"/>
                <w:sz w:val="24"/>
                <w:szCs w:val="24"/>
                <w:lang w:val="en-US" w:eastAsia="zh-CN"/>
              </w:rPr>
              <w:t>的</w:t>
            </w:r>
            <w:r>
              <w:rPr>
                <w:rFonts w:hint="eastAsia" w:ascii="仿宋_GB2312" w:hAnsi="仿宋_GB2312" w:eastAsia="仿宋_GB2312" w:cs="仿宋_GB2312"/>
                <w:color w:val="auto"/>
                <w:sz w:val="24"/>
                <w:szCs w:val="24"/>
              </w:rPr>
              <w:t>目标</w:t>
            </w:r>
            <w:r>
              <w:rPr>
                <w:rFonts w:hint="eastAsia" w:ascii="仿宋_GB2312" w:hAnsi="仿宋_GB2312" w:eastAsia="仿宋_GB2312" w:cs="仿宋_GB2312"/>
                <w:color w:val="auto"/>
                <w:sz w:val="24"/>
                <w:szCs w:val="24"/>
                <w:lang w:eastAsia="zh-CN"/>
              </w:rPr>
              <w:t>，降幅居全市前列。</w:t>
            </w:r>
            <w:r>
              <w:rPr>
                <w:rFonts w:hint="eastAsia" w:ascii="仿宋_GB2312" w:eastAsia="仿宋_GB2312"/>
                <w:b/>
                <w:bCs/>
                <w:color w:val="auto"/>
                <w:sz w:val="24"/>
                <w:szCs w:val="24"/>
                <w:lang w:val="en-US" w:eastAsia="zh-CN"/>
              </w:rPr>
              <w:t>煤炭消费持续压减。</w:t>
            </w:r>
            <w:r>
              <w:rPr>
                <w:rFonts w:hint="eastAsia" w:ascii="仿宋_GB2312" w:hAnsi="仿宋_GB2312" w:eastAsia="仿宋_GB2312" w:cs="仿宋_GB2312"/>
                <w:color w:val="auto"/>
                <w:sz w:val="24"/>
                <w:szCs w:val="24"/>
                <w:lang w:val="en-US" w:eastAsia="zh-CN"/>
              </w:rPr>
              <w:t>县发展改革局</w:t>
            </w:r>
            <w:r>
              <w:rPr>
                <w:rFonts w:hint="eastAsia" w:ascii="仿宋_GB2312" w:eastAsia="仿宋_GB2312"/>
                <w:b w:val="0"/>
                <w:bCs w:val="0"/>
                <w:color w:val="auto"/>
                <w:sz w:val="24"/>
                <w:szCs w:val="24"/>
                <w:lang w:val="en-US" w:eastAsia="zh-CN"/>
              </w:rPr>
              <w:t>坚持能源节约与高效低碳利用并举，制定实施重点燃煤企业煤炭压减方案，</w:t>
            </w:r>
            <w:r>
              <w:rPr>
                <w:rFonts w:hint="eastAsia" w:ascii="仿宋_GB2312" w:eastAsia="仿宋_GB2312"/>
                <w:color w:val="auto"/>
                <w:sz w:val="24"/>
                <w:szCs w:val="24"/>
                <w:lang w:val="en-US" w:eastAsia="zh-CN"/>
              </w:rPr>
              <w:t>突出重点行业、重点用能企业，强化标准倒逼作用，提升能源利用效率。面对全县每年增加的供暖面积和工业用汽需求，我县克服困难，采取限产、设备检修、提高燃煤品质、提升能源使用效率等方式压减煤炭消费，超额完成了煤炭压减目标任务。2020年煤炭消费总量为42.1万吨，2022年预计我县煤炭消费总量将控制在31.25万吨以内，同2020相比年压减10.85万吨，总量减少了四分之一，下降幅度居全市首位。</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_GB2312" w:eastAsia="仿宋_GB2312"/>
                <w:color w:val="auto"/>
                <w:sz w:val="24"/>
                <w:szCs w:val="24"/>
                <w:lang w:val="en-US" w:eastAsia="zh-CN"/>
              </w:rPr>
            </w:pPr>
            <w:r>
              <w:rPr>
                <w:rFonts w:hint="eastAsia" w:ascii="黑体" w:hAnsi="黑体" w:eastAsia="黑体" w:cs="黑体"/>
                <w:b w:val="0"/>
                <w:bCs w:val="0"/>
                <w:color w:val="auto"/>
                <w:sz w:val="24"/>
                <w:szCs w:val="24"/>
                <w:lang w:val="en-US" w:eastAsia="zh-CN"/>
              </w:rPr>
              <w:t>二、加快能源结构调整，推动绿色低碳转型。</w:t>
            </w:r>
            <w:r>
              <w:rPr>
                <w:rFonts w:hint="eastAsia" w:ascii="仿宋_GB2312" w:hAnsi="仿宋_GB2312" w:eastAsia="仿宋_GB2312" w:cs="仿宋_GB2312"/>
                <w:b w:val="0"/>
                <w:bCs w:val="0"/>
                <w:color w:val="auto"/>
                <w:sz w:val="24"/>
                <w:szCs w:val="24"/>
                <w:lang w:val="en-US" w:eastAsia="zh-CN"/>
              </w:rPr>
              <w:t>为</w:t>
            </w:r>
            <w:r>
              <w:rPr>
                <w:rFonts w:hint="eastAsia" w:ascii="仿宋_GB2312" w:eastAsia="仿宋_GB2312"/>
                <w:color w:val="auto"/>
                <w:sz w:val="24"/>
                <w:szCs w:val="24"/>
                <w:lang w:val="en-US" w:eastAsia="zh-CN"/>
              </w:rPr>
              <w:t>加快能源结构优化，</w:t>
            </w:r>
            <w:r>
              <w:rPr>
                <w:rFonts w:hint="eastAsia" w:ascii="仿宋_GB2312" w:eastAsia="仿宋_GB2312"/>
                <w:color w:val="auto"/>
                <w:sz w:val="24"/>
                <w:szCs w:val="24"/>
              </w:rPr>
              <w:t>提高非水可再生能源消纳比重</w:t>
            </w:r>
            <w:r>
              <w:rPr>
                <w:rFonts w:hint="eastAsia" w:ascii="仿宋_GB2312" w:eastAsia="仿宋_GB2312"/>
                <w:color w:val="auto"/>
                <w:sz w:val="24"/>
                <w:szCs w:val="24"/>
                <w:lang w:eastAsia="zh-CN"/>
              </w:rPr>
              <w:t>，</w:t>
            </w:r>
            <w:r>
              <w:rPr>
                <w:rFonts w:hint="eastAsia" w:ascii="仿宋_GB2312" w:eastAsia="仿宋_GB2312"/>
                <w:color w:val="auto"/>
                <w:sz w:val="24"/>
                <w:szCs w:val="24"/>
                <w:lang w:val="en-US" w:eastAsia="zh-CN"/>
              </w:rPr>
              <w:t>实现减污降碳协同增效，县发展改革局紧紧</w:t>
            </w:r>
            <w:r>
              <w:rPr>
                <w:rFonts w:hint="eastAsia" w:ascii="仿宋_GB2312" w:eastAsia="仿宋_GB2312"/>
                <w:color w:val="auto"/>
                <w:sz w:val="24"/>
                <w:szCs w:val="24"/>
              </w:rPr>
              <w:t>围绕“发展绿色能源、助力动能转换”这一核心任务，依托我</w:t>
            </w:r>
            <w:r>
              <w:rPr>
                <w:rFonts w:hint="eastAsia" w:ascii="仿宋_GB2312" w:eastAsia="仿宋_GB2312"/>
                <w:color w:val="auto"/>
                <w:sz w:val="24"/>
                <w:szCs w:val="24"/>
                <w:lang w:eastAsia="zh-CN"/>
              </w:rPr>
              <w:t>县</w:t>
            </w:r>
            <w:r>
              <w:rPr>
                <w:rFonts w:hint="eastAsia" w:ascii="仿宋_GB2312" w:eastAsia="仿宋_GB2312"/>
                <w:color w:val="auto"/>
                <w:sz w:val="24"/>
                <w:szCs w:val="24"/>
              </w:rPr>
              <w:t>较丰富的可再生能源资源禀赋通过政策扶持、项目带动、区域联动等有效措施，</w:t>
            </w:r>
            <w:r>
              <w:rPr>
                <w:rFonts w:hint="eastAsia" w:ascii="仿宋_GB2312" w:hAnsi="仿宋_GB2312" w:eastAsia="仿宋_GB2312" w:cs="仿宋_GB2312"/>
                <w:color w:val="auto"/>
                <w:sz w:val="24"/>
                <w:szCs w:val="24"/>
                <w:lang w:val="en-US" w:eastAsia="zh-CN"/>
              </w:rPr>
              <w:t>培育能源生产消费新业态新模式，构建清洁低碳、安全高效的现代能源体系，</w:t>
            </w:r>
            <w:r>
              <w:rPr>
                <w:rFonts w:hint="eastAsia" w:ascii="仿宋_GB2312" w:eastAsia="仿宋_GB2312"/>
                <w:color w:val="auto"/>
                <w:sz w:val="24"/>
                <w:szCs w:val="24"/>
              </w:rPr>
              <w:t>推动可再生能源实现高质量发展，并且呈现多种模式齐头并进的多样化发展模式。</w:t>
            </w:r>
            <w:r>
              <w:rPr>
                <w:rFonts w:hint="eastAsia" w:ascii="仿宋_GB2312" w:eastAsia="仿宋_GB2312"/>
                <w:color w:val="auto"/>
                <w:sz w:val="24"/>
                <w:szCs w:val="24"/>
                <w:lang w:val="en-US" w:eastAsia="zh-CN"/>
              </w:rPr>
              <w:t>2021年，阳谷县被选为全省整县分布式光伏开发试点县，县发展改革局按照“政府组织、市场运作、试点示范、逐步推进”的工作思路，</w:t>
            </w:r>
            <w:r>
              <w:rPr>
                <w:rFonts w:hint="eastAsia" w:ascii="仿宋_GB2312" w:eastAsia="仿宋_GB2312"/>
                <w:color w:val="auto"/>
                <w:sz w:val="24"/>
                <w:szCs w:val="24"/>
              </w:rPr>
              <w:t>制定了《阳谷县整县分布式光伏规模化开发试点方案》和《开发规划报告》，公开招引参与开发企业</w:t>
            </w:r>
            <w:r>
              <w:rPr>
                <w:rFonts w:hint="eastAsia" w:ascii="仿宋_GB2312" w:eastAsia="仿宋_GB2312"/>
                <w:color w:val="auto"/>
                <w:sz w:val="24"/>
                <w:szCs w:val="24"/>
                <w:lang w:eastAsia="zh-CN"/>
              </w:rPr>
              <w:t>，</w:t>
            </w:r>
            <w:r>
              <w:rPr>
                <w:rFonts w:hint="eastAsia" w:ascii="仿宋_GB2312" w:eastAsia="仿宋_GB2312"/>
                <w:color w:val="auto"/>
                <w:sz w:val="24"/>
                <w:szCs w:val="24"/>
                <w:lang w:val="en-US" w:eastAsia="zh-CN"/>
              </w:rPr>
              <w:t>签订战略合作协议，近期可开工建设。</w:t>
            </w:r>
            <w:r>
              <w:rPr>
                <w:rFonts w:hint="eastAsia" w:ascii="仿宋_GB2312" w:eastAsia="仿宋_GB2312"/>
                <w:color w:val="auto"/>
                <w:sz w:val="24"/>
                <w:szCs w:val="24"/>
              </w:rPr>
              <w:t>截至202</w:t>
            </w:r>
            <w:r>
              <w:rPr>
                <w:rFonts w:hint="eastAsia" w:ascii="仿宋_GB2312" w:eastAsia="仿宋_GB2312"/>
                <w:color w:val="auto"/>
                <w:sz w:val="24"/>
                <w:szCs w:val="24"/>
                <w:lang w:val="en-US" w:eastAsia="zh-CN"/>
              </w:rPr>
              <w:t>1</w:t>
            </w:r>
            <w:r>
              <w:rPr>
                <w:rFonts w:hint="eastAsia" w:ascii="仿宋_GB2312" w:eastAsia="仿宋_GB2312"/>
                <w:color w:val="auto"/>
                <w:sz w:val="24"/>
                <w:szCs w:val="24"/>
              </w:rPr>
              <w:t>年底，全</w:t>
            </w:r>
            <w:r>
              <w:rPr>
                <w:rFonts w:hint="eastAsia" w:ascii="仿宋_GB2312" w:eastAsia="仿宋_GB2312"/>
                <w:color w:val="auto"/>
                <w:sz w:val="24"/>
                <w:szCs w:val="24"/>
                <w:lang w:eastAsia="zh-CN"/>
              </w:rPr>
              <w:t>县</w:t>
            </w:r>
            <w:r>
              <w:rPr>
                <w:rFonts w:hint="eastAsia" w:ascii="仿宋_GB2312" w:eastAsia="仿宋_GB2312"/>
                <w:color w:val="auto"/>
                <w:sz w:val="24"/>
                <w:szCs w:val="24"/>
              </w:rPr>
              <w:t>可再生能源装机容量</w:t>
            </w:r>
            <w:r>
              <w:rPr>
                <w:rFonts w:hint="eastAsia" w:ascii="仿宋_GB2312" w:eastAsia="仿宋_GB2312"/>
                <w:color w:val="auto"/>
                <w:sz w:val="24"/>
                <w:szCs w:val="24"/>
                <w:lang w:val="en-US" w:eastAsia="zh-CN"/>
              </w:rPr>
              <w:t>30.1</w:t>
            </w:r>
            <w:r>
              <w:rPr>
                <w:rFonts w:hint="eastAsia" w:ascii="仿宋_GB2312" w:eastAsia="仿宋_GB2312"/>
                <w:color w:val="auto"/>
                <w:sz w:val="24"/>
                <w:szCs w:val="24"/>
              </w:rPr>
              <w:t>万千瓦，发电量突破</w:t>
            </w:r>
            <w:r>
              <w:rPr>
                <w:rFonts w:hint="eastAsia" w:ascii="仿宋_GB2312" w:eastAsia="仿宋_GB2312"/>
                <w:color w:val="auto"/>
                <w:sz w:val="24"/>
                <w:szCs w:val="24"/>
                <w:lang w:val="en-US" w:eastAsia="zh-CN"/>
              </w:rPr>
              <w:t>2.3883</w:t>
            </w:r>
            <w:r>
              <w:rPr>
                <w:rFonts w:hint="eastAsia" w:ascii="仿宋_GB2312" w:eastAsia="仿宋_GB2312"/>
                <w:color w:val="auto"/>
                <w:sz w:val="24"/>
                <w:szCs w:val="24"/>
              </w:rPr>
              <w:t>亿千瓦时</w:t>
            </w:r>
            <w:r>
              <w:rPr>
                <w:rFonts w:hint="eastAsia" w:ascii="仿宋_GB2312" w:eastAsia="仿宋_GB2312"/>
                <w:color w:val="auto"/>
                <w:sz w:val="24"/>
                <w:szCs w:val="24"/>
                <w:lang w:eastAsia="zh-CN"/>
              </w:rPr>
              <w:t>，</w:t>
            </w:r>
            <w:r>
              <w:rPr>
                <w:rFonts w:hint="eastAsia" w:ascii="仿宋_GB2312" w:eastAsia="仿宋_GB2312"/>
                <w:color w:val="auto"/>
                <w:sz w:val="24"/>
                <w:szCs w:val="24"/>
              </w:rPr>
              <w:t>其中光伏发电装机容量</w:t>
            </w:r>
            <w:r>
              <w:rPr>
                <w:rFonts w:hint="eastAsia" w:ascii="仿宋_GB2312" w:eastAsia="仿宋_GB2312"/>
                <w:color w:val="auto"/>
                <w:sz w:val="24"/>
                <w:szCs w:val="24"/>
                <w:lang w:val="en-US" w:eastAsia="zh-CN"/>
              </w:rPr>
              <w:t>23.36</w:t>
            </w:r>
            <w:r>
              <w:rPr>
                <w:rFonts w:hint="eastAsia" w:ascii="仿宋_GB2312" w:eastAsia="仿宋_GB2312"/>
                <w:color w:val="auto"/>
                <w:sz w:val="24"/>
                <w:szCs w:val="24"/>
              </w:rPr>
              <w:t>万千瓦</w:t>
            </w:r>
            <w:r>
              <w:rPr>
                <w:rFonts w:hint="eastAsia" w:ascii="仿宋_GB2312" w:eastAsia="仿宋_GB2312"/>
                <w:color w:val="auto"/>
                <w:sz w:val="24"/>
                <w:szCs w:val="24"/>
                <w:lang w:eastAsia="zh-CN"/>
              </w:rPr>
              <w:t>，年发电量</w:t>
            </w:r>
            <w:r>
              <w:rPr>
                <w:rFonts w:hint="eastAsia" w:ascii="仿宋_GB2312" w:eastAsia="仿宋_GB2312"/>
                <w:color w:val="auto"/>
                <w:sz w:val="24"/>
                <w:szCs w:val="24"/>
                <w:lang w:val="en-US" w:eastAsia="zh-CN"/>
              </w:rPr>
              <w:t>17258万千瓦时</w:t>
            </w:r>
            <w:r>
              <w:rPr>
                <w:rFonts w:hint="eastAsia" w:ascii="仿宋_GB2312" w:eastAsia="仿宋_GB2312"/>
                <w:color w:val="auto"/>
                <w:sz w:val="24"/>
                <w:szCs w:val="24"/>
              </w:rPr>
              <w:t>；农林生物质、垃圾发电装机容量分别为</w:t>
            </w:r>
            <w:r>
              <w:rPr>
                <w:rFonts w:hint="eastAsia" w:ascii="仿宋_GB2312" w:eastAsia="仿宋_GB2312"/>
                <w:color w:val="auto"/>
                <w:sz w:val="24"/>
                <w:szCs w:val="24"/>
                <w:lang w:val="en-US" w:eastAsia="zh-CN"/>
              </w:rPr>
              <w:t>4</w:t>
            </w:r>
            <w:r>
              <w:rPr>
                <w:rFonts w:hint="eastAsia" w:ascii="仿宋_GB2312" w:eastAsia="仿宋_GB2312"/>
                <w:color w:val="auto"/>
                <w:sz w:val="24"/>
                <w:szCs w:val="24"/>
              </w:rPr>
              <w:t>万、</w:t>
            </w:r>
            <w:r>
              <w:rPr>
                <w:rFonts w:hint="eastAsia" w:ascii="仿宋_GB2312" w:eastAsia="仿宋_GB2312"/>
                <w:color w:val="auto"/>
                <w:sz w:val="24"/>
                <w:szCs w:val="24"/>
                <w:lang w:val="en-US" w:eastAsia="zh-CN"/>
              </w:rPr>
              <w:t>1.2</w:t>
            </w:r>
            <w:r>
              <w:rPr>
                <w:rFonts w:hint="eastAsia" w:ascii="仿宋_GB2312" w:eastAsia="仿宋_GB2312"/>
                <w:color w:val="auto"/>
                <w:sz w:val="24"/>
                <w:szCs w:val="24"/>
              </w:rPr>
              <w:t>万千瓦</w:t>
            </w:r>
            <w:r>
              <w:rPr>
                <w:rFonts w:hint="eastAsia" w:ascii="仿宋_GB2312" w:eastAsia="仿宋_GB2312"/>
                <w:color w:val="auto"/>
                <w:sz w:val="24"/>
                <w:szCs w:val="24"/>
                <w:lang w:eastAsia="zh-CN"/>
              </w:rPr>
              <w:t>，年发电量</w:t>
            </w:r>
            <w:r>
              <w:rPr>
                <w:rFonts w:hint="eastAsia" w:ascii="仿宋_GB2312" w:eastAsia="仿宋_GB2312"/>
                <w:color w:val="auto"/>
                <w:sz w:val="24"/>
                <w:szCs w:val="24"/>
                <w:lang w:val="en-US" w:eastAsia="zh-CN"/>
              </w:rPr>
              <w:t>5816万千瓦时</w:t>
            </w:r>
            <w:r>
              <w:rPr>
                <w:rFonts w:hint="eastAsia" w:ascii="仿宋_GB2312" w:eastAsia="仿宋_GB2312"/>
                <w:color w:val="auto"/>
                <w:sz w:val="24"/>
                <w:szCs w:val="24"/>
                <w:lang w:eastAsia="zh-CN"/>
              </w:rPr>
              <w:t>；阳谷祥光铜业有限公司利用硫酸余热发电机组</w:t>
            </w:r>
            <w:r>
              <w:rPr>
                <w:rFonts w:hint="eastAsia" w:ascii="仿宋_GB2312" w:eastAsia="仿宋_GB2312"/>
                <w:color w:val="auto"/>
                <w:sz w:val="24"/>
                <w:szCs w:val="24"/>
                <w:lang w:val="en-US" w:eastAsia="zh-CN"/>
              </w:rPr>
              <w:t>1.54万千瓦，年发电量809万千瓦时。</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_GB2312" w:hAnsi="仿宋_GB2312" w:eastAsia="仿宋_GB2312" w:cs="仿宋_GB2312"/>
                <w:color w:val="auto"/>
                <w:sz w:val="24"/>
                <w:szCs w:val="24"/>
                <w:lang w:val="en-US" w:eastAsia="zh-CN"/>
              </w:rPr>
            </w:pPr>
            <w:r>
              <w:rPr>
                <w:rFonts w:hint="eastAsia" w:ascii="黑体" w:hAnsi="黑体" w:eastAsia="黑体" w:cs="黑体"/>
                <w:b w:val="0"/>
                <w:bCs w:val="0"/>
                <w:color w:val="auto"/>
                <w:sz w:val="24"/>
                <w:szCs w:val="24"/>
                <w:lang w:val="en-US" w:eastAsia="zh-CN"/>
              </w:rPr>
              <w:t>三、</w:t>
            </w:r>
            <w:r>
              <w:rPr>
                <w:rFonts w:hint="eastAsia" w:ascii="黑体" w:hAnsi="黑体" w:eastAsia="黑体" w:cs="黑体"/>
                <w:color w:val="auto"/>
                <w:sz w:val="24"/>
                <w:szCs w:val="24"/>
                <w:lang w:val="en-US" w:eastAsia="zh-CN"/>
              </w:rPr>
              <w:t>助力示范企业发展，推进循环经济产业。</w:t>
            </w:r>
            <w:r>
              <w:rPr>
                <w:rFonts w:hint="eastAsia" w:ascii="仿宋_GB2312" w:hAnsi="仿宋_GB2312" w:eastAsia="仿宋_GB2312" w:cs="仿宋_GB2312"/>
                <w:color w:val="auto"/>
                <w:sz w:val="24"/>
                <w:szCs w:val="24"/>
                <w:lang w:val="en-US" w:eastAsia="zh-CN"/>
              </w:rPr>
              <w:t>为推动阳谷县资源综合利用工作，县发展改革局联合县工信局等部门鼓励和支持企业大力发展资源综合利用，树立典型标杆，确保企业获取最大利益。协助金蔡伦集团深入践行新发展理念，将资源综合利用、节约集约用水作为企业发展方向。积极打造工业固体废物利用循环体系，将集团内部森泉热电产生的粉煤灰、新源热电产生的炉渣，作为新源建材的原料，用于烧结砖，保证了固体废物集团内部消化吸收。积极探索水资源循环利用模式，走出了一条具有“金蔡伦”特色的循环用水、分质供水、再生水利用新路子，集团把金蔡伦纸业生产过程中的废水，经过企业废水深度处理系统，进入县污水处理厂进行处理，达标中水进入森泉湿地进一步净化，森泉水厂实施日处理2万吨森泉湿地再生水回用工程，将湿地中水再次深度处理后，回用于集团金蔡伦纸业、森泉热电、新源热电等的工业用水，真正实现了水资源的梯级利用和中水再生利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_GB2312" w:hAnsi="仿宋_GB2312" w:eastAsia="仿宋_GB2312" w:cs="仿宋_GB2312"/>
                <w:color w:val="auto"/>
                <w:sz w:val="24"/>
                <w:szCs w:val="24"/>
                <w:lang w:val="en-US" w:eastAsia="zh-CN"/>
              </w:rPr>
            </w:pPr>
            <w:r>
              <w:rPr>
                <w:rFonts w:hint="eastAsia" w:ascii="黑体" w:hAnsi="黑体" w:eastAsia="黑体" w:cs="黑体"/>
                <w:color w:val="auto"/>
                <w:sz w:val="24"/>
                <w:szCs w:val="24"/>
                <w:lang w:val="en-US" w:eastAsia="zh-CN"/>
              </w:rPr>
              <w:t>四、</w:t>
            </w:r>
            <w:r>
              <w:rPr>
                <w:rFonts w:hint="eastAsia" w:ascii="黑体" w:hAnsi="黑体" w:eastAsia="黑体" w:cs="黑体"/>
                <w:color w:val="auto"/>
                <w:sz w:val="24"/>
                <w:szCs w:val="24"/>
                <w:lang w:eastAsia="zh-CN"/>
              </w:rPr>
              <w:t>大力实施重点项目，提升资源利用水平。</w:t>
            </w:r>
            <w:r>
              <w:rPr>
                <w:rFonts w:hint="eastAsia" w:ascii="仿宋_GB2312" w:hAnsi="仿宋_GB2312" w:eastAsia="仿宋_GB2312" w:cs="仿宋_GB2312"/>
                <w:color w:val="auto"/>
                <w:kern w:val="0"/>
                <w:sz w:val="24"/>
                <w:szCs w:val="24"/>
                <w:lang w:val="en" w:eastAsia="zh-CN" w:bidi="ar"/>
              </w:rPr>
              <w:t>资源综合利用能够全面发展，离不开重点项目的实施。县发展改革局立足服务企业职责，积极</w:t>
            </w:r>
            <w:r>
              <w:rPr>
                <w:rFonts w:hint="eastAsia" w:ascii="仿宋_GB2312" w:hAnsi="仿宋_GB2312" w:eastAsia="仿宋_GB2312" w:cs="仿宋_GB2312"/>
                <w:color w:val="auto"/>
                <w:kern w:val="0"/>
                <w:sz w:val="24"/>
                <w:szCs w:val="24"/>
                <w:lang w:val="en-US" w:eastAsia="zh-CN" w:bidi="ar"/>
              </w:rPr>
              <w:t>推动</w:t>
            </w:r>
            <w:r>
              <w:rPr>
                <w:rFonts w:hint="eastAsia" w:ascii="仿宋_GB2312" w:hAnsi="仿宋_GB2312" w:eastAsia="仿宋_GB2312" w:cs="仿宋_GB2312"/>
                <w:color w:val="auto"/>
                <w:kern w:val="0"/>
                <w:sz w:val="24"/>
                <w:szCs w:val="24"/>
                <w:lang w:val="en" w:eastAsia="zh-CN" w:bidi="ar"/>
              </w:rPr>
              <w:t>重点项目</w:t>
            </w:r>
            <w:r>
              <w:rPr>
                <w:rFonts w:hint="eastAsia" w:ascii="仿宋_GB2312" w:hAnsi="仿宋_GB2312" w:eastAsia="仿宋_GB2312" w:cs="仿宋_GB2312"/>
                <w:color w:val="auto"/>
                <w:kern w:val="0"/>
                <w:sz w:val="24"/>
                <w:szCs w:val="24"/>
                <w:lang w:val="en-US" w:eastAsia="zh-CN" w:bidi="ar"/>
              </w:rPr>
              <w:t>建设</w:t>
            </w:r>
            <w:r>
              <w:rPr>
                <w:rFonts w:hint="eastAsia" w:ascii="仿宋_GB2312" w:hAnsi="仿宋_GB2312" w:eastAsia="仿宋_GB2312" w:cs="仿宋_GB2312"/>
                <w:color w:val="auto"/>
                <w:kern w:val="0"/>
                <w:sz w:val="24"/>
                <w:szCs w:val="24"/>
                <w:lang w:val="en" w:eastAsia="zh-CN" w:bidi="ar"/>
              </w:rPr>
              <w:t>。祥光铜业实施的烟气提标改造项目，对制酸尾气进行脱硫改造，降低制酸系统尾气</w:t>
            </w:r>
            <w:r>
              <w:rPr>
                <w:rFonts w:hint="eastAsia" w:ascii="仿宋_GB2312" w:hAnsi="仿宋_GB2312" w:eastAsia="仿宋_GB2312" w:cs="仿宋_GB2312"/>
                <w:color w:val="auto"/>
                <w:kern w:val="0"/>
                <w:sz w:val="24"/>
                <w:szCs w:val="24"/>
                <w:lang w:val="en-US" w:eastAsia="zh-CN" w:bidi="ar"/>
              </w:rPr>
              <w:t>SO2浓度；对阳极炉烟气处理改造，对阳极炉烟气进行脱硝；对环集烟气、冰铜粒化、渣粒化烟气改造，减少现场无组织烟气逸散，使尾气超清洁排放。硫酸转化采用两吸工艺、3+2式五段双接触转化和内换热转化工艺。2021年，生产高浓度硫酸122.59万吨，实现产值4.91亿元，享受增值税退税2008万元，</w:t>
            </w:r>
            <w:r>
              <w:rPr>
                <w:rFonts w:hint="eastAsia" w:ascii="仿宋_GB2312" w:hAnsi="仿宋_GB2312" w:eastAsia="仿宋_GB2312" w:cs="仿宋_GB2312"/>
                <w:color w:val="auto"/>
                <w:kern w:val="0"/>
                <w:sz w:val="24"/>
                <w:szCs w:val="24"/>
                <w:lang w:val="en" w:eastAsia="zh-CN" w:bidi="ar"/>
              </w:rPr>
              <w:t>具有良好的环境效益和社会效益。</w:t>
            </w:r>
            <w:r>
              <w:rPr>
                <w:rFonts w:hint="eastAsia" w:ascii="仿宋_GB2312" w:hAnsi="仿宋_GB2312" w:eastAsia="仿宋_GB2312" w:cs="仿宋_GB2312"/>
                <w:color w:val="auto"/>
                <w:sz w:val="24"/>
                <w:szCs w:val="24"/>
                <w:lang w:val="en-US" w:eastAsia="zh-CN"/>
              </w:rPr>
              <w:t>2022年初，金蔡伦纸业有限公司新上总投资6亿元的年产10万吨杨木化机木纤维节能升级改造项目，建成达产后将年新增产值3.5亿元。为推进该项目的顺利实施，县发展改革局积极谋划，牵头组织有关部门认真研究，在吃准吃透上级政策的基础上，认真做好省直部门联审准备工作，积极向上沟通协调，对联审情况进行经常性调度，全力推进项目手续办理进度。8月26日，该项目作为全省第一个窗口指导联审项目通过7个省直部门联审，该项工作获得聊城市政府高度认可。</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pPr>
            <w:r>
              <w:rPr>
                <w:rFonts w:hint="eastAsia" w:ascii="黑体" w:hAnsi="黑体" w:eastAsia="黑体" w:cs="黑体"/>
                <w:color w:val="auto"/>
                <w:sz w:val="24"/>
                <w:szCs w:val="24"/>
                <w:lang w:val="en-US" w:eastAsia="zh-CN"/>
              </w:rPr>
              <w:t>五、创新农业水价改革，提高农业用水效率。</w:t>
            </w:r>
            <w:r>
              <w:rPr>
                <w:rFonts w:hint="eastAsia" w:ascii="仿宋_GB2312" w:hAnsi="仿宋_GB2312" w:eastAsia="仿宋_GB2312" w:cs="仿宋_GB2312"/>
                <w:color w:val="auto"/>
                <w:sz w:val="24"/>
                <w:szCs w:val="24"/>
                <w:lang w:val="en-US" w:eastAsia="zh-CN"/>
              </w:rPr>
              <w:t>阳谷县始终坚持“节水优先、空间均衡、系统治理、两手发力”的治水方针，以点带面，大胆探索，统筹协同推进农业水价形成机制、精准补贴和节水奖励机制、工程建设和管护机制、用水管理机制等系列措施，有力地推动农业水价改革工作高效运行。2022年6月14日，聊城市农业水价综合改革现场会在阳谷县召开。</w:t>
            </w:r>
            <w:r>
              <w:rPr>
                <w:rFonts w:hint="eastAsia" w:ascii="仿宋_GB2312" w:hAnsi="仿宋_GB2312" w:eastAsia="仿宋_GB2312" w:cs="仿宋_GB2312"/>
                <w:b/>
                <w:bCs/>
                <w:color w:val="auto"/>
                <w:sz w:val="24"/>
                <w:szCs w:val="24"/>
                <w:lang w:val="en-US" w:eastAsia="zh-CN"/>
              </w:rPr>
              <w:t>改革创新机制，形成阳谷特色的农业水价机制。</w:t>
            </w:r>
            <w:r>
              <w:rPr>
                <w:rFonts w:hint="eastAsia" w:ascii="仿宋_GB2312" w:hAnsi="仿宋_GB2312" w:eastAsia="仿宋_GB2312" w:cs="仿宋_GB2312"/>
                <w:color w:val="auto"/>
                <w:sz w:val="24"/>
                <w:szCs w:val="24"/>
                <w:lang w:val="en-US" w:eastAsia="zh-CN"/>
              </w:rPr>
              <w:t>以成本监审结果为依据，核定引黄灌区农业供水终端试行价格，明确灌溉用水定额和超定额累进加价制度，推动执行水价达到运行维护成本水平，有效地保障了水利设施正常运行。</w:t>
            </w:r>
            <w:r>
              <w:rPr>
                <w:rFonts w:hint="eastAsia" w:ascii="仿宋_GB2312" w:hAnsi="仿宋_GB2312" w:eastAsia="仿宋_GB2312" w:cs="仿宋_GB2312"/>
                <w:b/>
                <w:bCs/>
                <w:color w:val="auto"/>
                <w:sz w:val="24"/>
                <w:szCs w:val="24"/>
                <w:lang w:val="en-US" w:eastAsia="zh-CN"/>
              </w:rPr>
              <w:t>改革创新方法，发挥计量机制作用促进农业节水。</w:t>
            </w:r>
            <w:r>
              <w:rPr>
                <w:rFonts w:hint="eastAsia" w:ascii="仿宋_GB2312" w:hAnsi="仿宋_GB2312" w:eastAsia="仿宋_GB2312" w:cs="仿宋_GB2312"/>
                <w:color w:val="auto"/>
                <w:sz w:val="24"/>
                <w:szCs w:val="24"/>
                <w:lang w:val="en-US" w:eastAsia="zh-CN"/>
              </w:rPr>
              <w:t>阳谷县引黄灌区农业节水建设项目，累计安装计量灌区干支渠计量设施325处，建成后预计2023年具备农业用水计量条件，可以实现农业灌溉用水计量收费。采用机井智能电表、水电双控计量系统等多种计量形式，实行以电计量、以电折水等多种计量方式，通过提高工程运行效果等措施进一步提高群众节水意识，促进灌区内农业节约用水。</w:t>
            </w:r>
            <w:r>
              <w:rPr>
                <w:rFonts w:hint="eastAsia" w:ascii="仿宋_GB2312" w:hAnsi="仿宋_GB2312" w:eastAsia="仿宋_GB2312" w:cs="仿宋_GB2312"/>
                <w:b/>
                <w:bCs/>
                <w:color w:val="auto"/>
                <w:sz w:val="24"/>
                <w:szCs w:val="24"/>
                <w:lang w:val="en-US" w:eastAsia="zh-CN"/>
              </w:rPr>
              <w:t>改革创新模式，推进农业水价改革。</w:t>
            </w:r>
            <w:r>
              <w:rPr>
                <w:rFonts w:hint="eastAsia" w:ascii="仿宋_GB2312" w:hAnsi="仿宋_GB2312" w:eastAsia="仿宋_GB2312" w:cs="仿宋_GB2312"/>
                <w:color w:val="auto"/>
                <w:sz w:val="24"/>
                <w:szCs w:val="24"/>
                <w:lang w:val="en-US" w:eastAsia="zh-CN"/>
              </w:rPr>
              <w:t>为提高农田水利工程设施管护水平，实施了农业灌溉“用水组织管理”模式，依托建立的工程管护组织和安装的用水计量设备，推行农业用水“计量收费”、“总量控制、定额管理、超额加价”、“用水奖补”等农业水价综合改革政策，实现了农业节水和农田水利设施良性运行的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0"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县级人力资源社会保障部门、工业和信息化部门推荐意见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_GB2312" w:hAnsi="宋体" w:eastAsia="仿宋_GB2312"/>
                <w:sz w:val="24"/>
              </w:rPr>
            </w:pPr>
          </w:p>
          <w:p>
            <w:pPr>
              <w:spacing w:line="440" w:lineRule="exact"/>
              <w:jc w:val="center"/>
              <w:rPr>
                <w:rFonts w:ascii="仿宋_GB2312" w:eastAsia="仿宋_GB2312"/>
                <w:sz w:val="28"/>
                <w:szCs w:val="28"/>
              </w:rPr>
            </w:pPr>
            <w:r>
              <w:rPr>
                <w:rFonts w:hint="eastAsia" w:ascii="仿宋_GB2312" w:eastAsia="仿宋_GB2312"/>
                <w:sz w:val="28"/>
                <w:szCs w:val="28"/>
              </w:rPr>
              <w:t xml:space="preserve">                                    （盖  章）</w:t>
            </w:r>
          </w:p>
          <w:p>
            <w:pPr>
              <w:spacing w:line="440" w:lineRule="exact"/>
              <w:jc w:val="right"/>
              <w:rPr>
                <w:rFonts w:ascii="仿宋_GB2312" w:hAnsi="宋体" w:eastAsia="仿宋_GB2312"/>
                <w:sz w:val="24"/>
              </w:rPr>
            </w:pPr>
            <w:r>
              <w:rPr>
                <w:rFonts w:hint="eastAsia" w:ascii="仿宋_GB2312"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市级人力资源社会保障部门、工业和信息化部门推荐意见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_GB2312" w:hAnsi="宋体" w:eastAsia="仿宋_GB2312"/>
                <w:sz w:val="24"/>
              </w:rPr>
            </w:pPr>
          </w:p>
          <w:p>
            <w:pPr>
              <w:spacing w:line="440" w:lineRule="exact"/>
              <w:jc w:val="center"/>
              <w:rPr>
                <w:rFonts w:ascii="仿宋_GB2312" w:eastAsia="仿宋_GB2312"/>
                <w:sz w:val="28"/>
                <w:szCs w:val="28"/>
              </w:rPr>
            </w:pPr>
            <w:r>
              <w:rPr>
                <w:rFonts w:hint="eastAsia" w:ascii="仿宋_GB2312" w:eastAsia="仿宋_GB2312"/>
                <w:sz w:val="28"/>
                <w:szCs w:val="28"/>
              </w:rPr>
              <w:t xml:space="preserve">                                    （盖  章）</w:t>
            </w:r>
          </w:p>
          <w:p>
            <w:pPr>
              <w:spacing w:line="440" w:lineRule="exact"/>
              <w:jc w:val="right"/>
              <w:rPr>
                <w:rFonts w:ascii="仿宋_GB2312" w:hAnsi="宋体" w:eastAsia="仿宋_GB2312"/>
                <w:sz w:val="24"/>
              </w:rPr>
            </w:pPr>
            <w:r>
              <w:rPr>
                <w:rFonts w:hint="eastAsia" w:ascii="仿宋_GB2312"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省人力资源社会保障厅、省工业和信息化厅审核意见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eastAsia="仿宋_GB2312"/>
                <w:sz w:val="28"/>
                <w:szCs w:val="28"/>
              </w:rPr>
            </w:pPr>
            <w:r>
              <w:rPr>
                <w:rFonts w:hint="eastAsia" w:ascii="仿宋_GB2312" w:eastAsia="仿宋_GB2312"/>
                <w:sz w:val="28"/>
                <w:szCs w:val="28"/>
              </w:rPr>
              <w:t xml:space="preserve">                                   </w:t>
            </w:r>
          </w:p>
          <w:p>
            <w:pPr>
              <w:spacing w:line="440" w:lineRule="exact"/>
              <w:jc w:val="center"/>
              <w:rPr>
                <w:rFonts w:ascii="仿宋_GB2312" w:eastAsia="仿宋_GB2312"/>
                <w:sz w:val="28"/>
                <w:szCs w:val="28"/>
              </w:rPr>
            </w:pPr>
            <w:r>
              <w:rPr>
                <w:rFonts w:hint="eastAsia" w:ascii="仿宋_GB2312" w:eastAsia="仿宋_GB2312"/>
                <w:sz w:val="28"/>
                <w:szCs w:val="28"/>
              </w:rPr>
              <w:t xml:space="preserve">                                     （盖  章）</w:t>
            </w:r>
          </w:p>
          <w:p>
            <w:pPr>
              <w:spacing w:line="440" w:lineRule="exact"/>
              <w:jc w:val="right"/>
              <w:rPr>
                <w:rFonts w:ascii="仿宋_GB2312" w:hAnsi="宋体" w:eastAsia="仿宋_GB2312"/>
                <w:sz w:val="24"/>
              </w:rPr>
            </w:pPr>
            <w:r>
              <w:rPr>
                <w:rFonts w:hint="eastAsia" w:ascii="仿宋_GB2312"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6"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省政府审批意见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eastAsia="仿宋_GB2312"/>
                <w:sz w:val="28"/>
                <w:szCs w:val="28"/>
              </w:rPr>
            </w:pPr>
            <w:r>
              <w:rPr>
                <w:rFonts w:hint="eastAsia" w:ascii="仿宋_GB2312" w:eastAsia="仿宋_GB2312"/>
                <w:sz w:val="28"/>
                <w:szCs w:val="28"/>
              </w:rPr>
              <w:t xml:space="preserve">                                     （盖  章）</w:t>
            </w:r>
          </w:p>
          <w:p>
            <w:pPr>
              <w:spacing w:line="440" w:lineRule="exact"/>
              <w:jc w:val="right"/>
              <w:rPr>
                <w:rFonts w:ascii="仿宋_GB2312" w:hAnsi="宋体" w:eastAsia="仿宋_GB2312"/>
                <w:sz w:val="24"/>
              </w:rPr>
            </w:pPr>
            <w:r>
              <w:rPr>
                <w:rFonts w:hint="eastAsia" w:ascii="仿宋_GB2312" w:eastAsia="仿宋_GB2312"/>
                <w:sz w:val="28"/>
                <w:szCs w:val="28"/>
              </w:rPr>
              <w:t xml:space="preserve">                        年   月   日</w:t>
            </w:r>
          </w:p>
        </w:tc>
      </w:tr>
    </w:tbl>
    <w:p>
      <w:pPr>
        <w:pStyle w:val="3"/>
        <w:ind w:left="0" w:leftChars="0" w:firstLine="0" w:firstLineChars="0"/>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Nimbus Roman No9 L"/>
    <w:panose1 w:val="020B0604020202020204"/>
    <w:charset w:val="86"/>
    <w:family w:val="swiss"/>
    <w:pitch w:val="default"/>
    <w:sig w:usb0="00000000" w:usb1="00000000" w:usb2="0000003F" w:usb3="00000000" w:csb0="003F01F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iMzRiYzYzZGFiZjcwMjg0NjRlODllNWY1ZjAzNTAifQ=="/>
  </w:docVars>
  <w:rsids>
    <w:rsidRoot w:val="3F1D1665"/>
    <w:rsid w:val="21923991"/>
    <w:rsid w:val="249B1A90"/>
    <w:rsid w:val="30D938B8"/>
    <w:rsid w:val="3F1D1665"/>
    <w:rsid w:val="54905446"/>
    <w:rsid w:val="585C6EF0"/>
    <w:rsid w:val="5A724184"/>
    <w:rsid w:val="6DFB6449"/>
    <w:rsid w:val="7FADDBDF"/>
    <w:rsid w:val="8BFEDCF6"/>
    <w:rsid w:val="B6FC0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32"/>
      <w:lang w:val="en-US" w:eastAsia="zh-CN" w:bidi="ar-SA"/>
    </w:rPr>
  </w:style>
  <w:style w:type="paragraph" w:styleId="2">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2"/>
    <w:basedOn w:val="1"/>
    <w:next w:val="4"/>
    <w:qFormat/>
    <w:uiPriority w:val="0"/>
    <w:pPr>
      <w:ind w:firstLine="570"/>
    </w:pPr>
    <w:rPr>
      <w:sz w:val="28"/>
    </w:rPr>
  </w:style>
  <w:style w:type="paragraph" w:customStyle="1" w:styleId="4">
    <w:name w:val="reader-word-layer reader-word-s46-2"/>
    <w:basedOn w:val="1"/>
    <w:next w:val="5"/>
    <w:qFormat/>
    <w:uiPriority w:val="0"/>
    <w:pPr>
      <w:widowControl/>
      <w:spacing w:before="280" w:after="280" w:line="240" w:lineRule="auto"/>
      <w:jc w:val="both"/>
    </w:pPr>
    <w:rPr>
      <w:rFonts w:ascii="宋体"/>
      <w:sz w:val="24"/>
    </w:rPr>
  </w:style>
  <w:style w:type="paragraph" w:customStyle="1" w:styleId="5">
    <w:name w:val="xl35"/>
    <w:basedOn w:val="1"/>
    <w:next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2"/>
      <w:szCs w:val="2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99"/>
    <w:pPr>
      <w:snapToGrid w:val="0"/>
      <w:spacing w:line="640" w:lineRule="exact"/>
      <w:ind w:firstLine="705"/>
    </w:pPr>
    <w:rPr>
      <w:rFonts w:ascii="仿宋_GB2312" w:eastAsia="仿宋_GB2312" w:cs="仿宋_GB2312"/>
      <w:color w:val="000000"/>
      <w:sz w:val="36"/>
      <w:szCs w:val="36"/>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3362</Words>
  <Characters>3508</Characters>
  <Lines>0</Lines>
  <Paragraphs>0</Paragraphs>
  <TotalTime>0</TotalTime>
  <ScaleCrop>false</ScaleCrop>
  <LinksUpToDate>false</LinksUpToDate>
  <CharactersWithSpaces>3758</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2022-10-21T11:04:00Z</dcterms:created>
  <dc:creator>Administrator</dc:creator>
  <cp:lastModifiedBy>user</cp:lastModifiedBy>
  <cp:lastPrinted>2022-11-03T10:26:00Z</cp:lastPrinted>
  <dcterms:modified xsi:type="dcterms:W3CDTF">2022-11-10T15:59:28Z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7789AADE6A1149E4BF9B8A624A32C34B</vt:lpwstr>
  </property>
</Properties>
</file>