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宋体" w:eastAsia="黑体"/>
          <w:lang w:val="en-US" w:eastAsia="zh-CN"/>
        </w:rPr>
      </w:pPr>
      <w:r>
        <w:rPr>
          <w:rFonts w:hint="eastAsia" w:ascii="黑体" w:hAnsi="宋体" w:eastAsia="黑体"/>
          <w:lang w:eastAsia="zh-CN"/>
        </w:rPr>
        <w:t>附件</w:t>
      </w:r>
      <w:r>
        <w:rPr>
          <w:rFonts w:hint="eastAsia" w:ascii="黑体" w:hAnsi="宋体" w:eastAsia="黑体"/>
          <w:lang w:val="en-US" w:eastAsia="zh-CN"/>
        </w:rPr>
        <w:t>3</w:t>
      </w:r>
      <w:bookmarkStart w:id="0" w:name="_GoBack"/>
      <w:bookmarkEnd w:id="0"/>
    </w:p>
    <w:p>
      <w:pPr>
        <w:jc w:val="center"/>
        <w:rPr>
          <w:rFonts w:ascii="仿宋_GB2312" w:hAnsi="宋体" w:eastAsia="仿宋_GB2312"/>
          <w:sz w:val="30"/>
          <w:szCs w:val="30"/>
        </w:rPr>
      </w:pPr>
    </w:p>
    <w:p>
      <w:pPr>
        <w:jc w:val="center"/>
        <w:rPr>
          <w:rFonts w:ascii="仿宋_GB2312" w:hAnsi="宋体" w:eastAsia="仿宋_GB2312"/>
          <w:sz w:val="30"/>
          <w:szCs w:val="30"/>
        </w:rPr>
      </w:pPr>
    </w:p>
    <w:p>
      <w:pPr>
        <w:pStyle w:val="7"/>
        <w:widowControl w:val="0"/>
        <w:overflowPunct w:val="0"/>
        <w:spacing w:before="0" w:beforeAutospacing="0" w:after="0" w:afterAutospacing="0" w:line="800" w:lineRule="exact"/>
        <w:jc w:val="center"/>
        <w:rPr>
          <w:rFonts w:ascii="方正小标宋简体" w:hAnsi="方正小标宋简体" w:eastAsia="方正小标宋简体" w:cs="方正小标宋简体"/>
          <w:bCs/>
          <w:snapToGrid w:val="0"/>
          <w:color w:val="000000"/>
          <w:sz w:val="52"/>
          <w:szCs w:val="52"/>
        </w:rPr>
      </w:pPr>
      <w:r>
        <w:rPr>
          <w:rFonts w:hint="eastAsia" w:ascii="方正小标宋简体" w:hAnsi="方正小标宋简体" w:eastAsia="方正小标宋简体" w:cs="方正小标宋简体"/>
          <w:bCs/>
          <w:snapToGrid w:val="0"/>
          <w:color w:val="000000"/>
          <w:sz w:val="52"/>
          <w:szCs w:val="52"/>
        </w:rPr>
        <w:t>山东省资源综合利用先进单位</w:t>
      </w:r>
    </w:p>
    <w:p>
      <w:pPr>
        <w:pStyle w:val="7"/>
        <w:widowControl w:val="0"/>
        <w:overflowPunct w:val="0"/>
        <w:spacing w:before="0" w:beforeAutospacing="0" w:after="0" w:afterAutospacing="0" w:line="800" w:lineRule="exact"/>
        <w:jc w:val="center"/>
        <w:rPr>
          <w:rFonts w:ascii="方正小标宋简体" w:hAnsi="方正小标宋简体" w:eastAsia="方正小标宋简体" w:cs="方正小标宋简体"/>
          <w:bCs/>
          <w:snapToGrid w:val="0"/>
          <w:color w:val="000000"/>
          <w:sz w:val="52"/>
          <w:szCs w:val="52"/>
        </w:rPr>
      </w:pPr>
      <w:r>
        <w:rPr>
          <w:rFonts w:hint="eastAsia" w:ascii="方正小标宋简体" w:hAnsi="方正小标宋简体" w:eastAsia="方正小标宋简体" w:cs="方正小标宋简体"/>
          <w:bCs/>
          <w:snapToGrid w:val="0"/>
          <w:color w:val="000000"/>
          <w:sz w:val="52"/>
          <w:szCs w:val="52"/>
        </w:rPr>
        <w:t>推荐审批表</w:t>
      </w: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both"/>
        <w:rPr>
          <w:rFonts w:ascii="楷体_GB2312" w:hAnsi="宋体" w:eastAsia="楷体_GB2312"/>
          <w:sz w:val="36"/>
          <w:szCs w:val="36"/>
        </w:rPr>
      </w:pPr>
    </w:p>
    <w:p>
      <w:pPr>
        <w:pStyle w:val="2"/>
      </w:pPr>
    </w:p>
    <w:p>
      <w:pPr>
        <w:ind w:firstLine="1264" w:firstLineChars="400"/>
        <w:jc w:val="left"/>
        <w:rPr>
          <w:rFonts w:hint="eastAsia" w:ascii="仿宋_GB2312" w:hAnsi="宋体" w:eastAsia="仿宋_GB2312"/>
        </w:rPr>
      </w:pPr>
      <w:r>
        <w:rPr>
          <w:rFonts w:hint="eastAsia" w:ascii="仿宋_GB2312" w:hAnsi="宋体" w:eastAsia="仿宋_GB2312"/>
        </w:rPr>
        <w:t>单位名称</w:t>
      </w:r>
      <w:r>
        <w:rPr>
          <w:rFonts w:hint="eastAsia" w:ascii="仿宋_GB2312" w:hAnsi="宋体" w:eastAsia="仿宋_GB2312"/>
          <w:lang w:val="en-US" w:eastAsia="zh-CN"/>
        </w:rPr>
        <w:t>：</w:t>
      </w:r>
      <w:r>
        <w:rPr>
          <w:rFonts w:hint="eastAsia" w:ascii="仿宋_GB2312" w:hAnsi="宋体" w:eastAsia="仿宋_GB2312"/>
          <w:u w:val="single"/>
          <w:lang w:eastAsia="zh-CN"/>
        </w:rPr>
        <w:t>聊城市东昌府区工业和信息化局</w:t>
      </w:r>
    </w:p>
    <w:p>
      <w:pPr>
        <w:ind w:firstLine="1264" w:firstLineChars="400"/>
        <w:jc w:val="left"/>
        <w:rPr>
          <w:rFonts w:ascii="仿宋_GB2312" w:hAnsi="宋体" w:eastAsia="仿宋_GB2312"/>
          <w:u w:val="single"/>
        </w:rPr>
      </w:pPr>
      <w:r>
        <w:rPr>
          <w:rFonts w:hint="eastAsia" w:ascii="仿宋_GB2312" w:hAnsi="宋体" w:eastAsia="仿宋_GB2312"/>
        </w:rPr>
        <w:t>推荐单位</w:t>
      </w:r>
      <w:r>
        <w:rPr>
          <w:rFonts w:hint="eastAsia" w:ascii="仿宋_GB2312" w:hAnsi="宋体" w:eastAsia="仿宋_GB2312"/>
          <w:lang w:val="en-US" w:eastAsia="zh-CN"/>
        </w:rPr>
        <w:t>：</w:t>
      </w:r>
      <w:r>
        <w:rPr>
          <w:rFonts w:hint="eastAsia" w:ascii="仿宋_GB2312" w:hAnsi="宋体" w:eastAsia="仿宋_GB2312"/>
          <w:u w:val="single"/>
          <w:lang w:eastAsia="zh-CN"/>
        </w:rPr>
        <w:t>聊城市东昌府区工业和信息化局</w:t>
      </w:r>
    </w:p>
    <w:p>
      <w:pPr>
        <w:ind w:firstLine="1264" w:firstLineChars="400"/>
        <w:jc w:val="both"/>
        <w:rPr>
          <w:rFonts w:hint="eastAsia" w:ascii="仿宋_GB2312" w:hAnsi="宋体" w:eastAsia="仿宋_GB2312"/>
          <w:u w:val="single"/>
        </w:rPr>
      </w:pPr>
    </w:p>
    <w:p>
      <w:pPr>
        <w:pStyle w:val="2"/>
      </w:pPr>
    </w:p>
    <w:p>
      <w:pPr>
        <w:jc w:val="center"/>
      </w:pPr>
      <w:r>
        <w:rPr>
          <w:rFonts w:hint="eastAsia" w:ascii="仿宋_GB2312" w:hAnsi="仿宋_GB2312" w:eastAsia="仿宋_GB2312" w:cs="仿宋_GB2312"/>
          <w:lang w:val="en-US" w:eastAsia="zh-CN"/>
        </w:rPr>
        <w:t>2022</w:t>
      </w:r>
      <w:r>
        <w:rPr>
          <w:rFonts w:hint="eastAsia" w:ascii="仿宋_GB2312" w:hAnsi="仿宋_GB2312" w:eastAsia="仿宋_GB2312" w:cs="仿宋_GB2312"/>
        </w:rPr>
        <w:t xml:space="preserve">年 </w:t>
      </w:r>
      <w:r>
        <w:rPr>
          <w:rFonts w:hint="eastAsia" w:ascii="仿宋_GB2312" w:hAnsi="仿宋_GB2312" w:eastAsia="仿宋_GB2312" w:cs="仿宋_GB2312"/>
          <w:lang w:val="en-US" w:eastAsia="zh-CN"/>
        </w:rPr>
        <w:t>10</w:t>
      </w:r>
      <w:r>
        <w:rPr>
          <w:rFonts w:hint="eastAsia" w:ascii="仿宋_GB2312" w:hAnsi="仿宋_GB2312" w:eastAsia="仿宋_GB2312" w:cs="仿宋_GB2312"/>
        </w:rPr>
        <w:t>月</w:t>
      </w:r>
      <w:r>
        <w:rPr>
          <w:rFonts w:hint="eastAsia" w:ascii="仿宋_GB2312" w:hAnsi="仿宋_GB2312" w:eastAsia="仿宋_GB2312" w:cs="仿宋_GB2312"/>
          <w:lang w:val="en-US" w:eastAsia="zh-CN"/>
        </w:rPr>
        <w:t>31</w:t>
      </w:r>
      <w:r>
        <w:rPr>
          <w:rFonts w:hint="eastAsia" w:ascii="仿宋_GB2312" w:hAnsi="仿宋_GB2312" w:eastAsia="仿宋_GB2312" w:cs="仿宋_GB2312"/>
        </w:rPr>
        <w:t>日</w:t>
      </w:r>
    </w:p>
    <w:p>
      <w:pPr>
        <w:jc w:val="center"/>
        <w:rPr>
          <w:rFonts w:ascii="黑体" w:hAnsi="宋体" w:eastAsia="黑体"/>
          <w:sz w:val="44"/>
          <w:szCs w:val="44"/>
        </w:rPr>
      </w:pPr>
      <w:r>
        <w:rPr>
          <w:rFonts w:hint="eastAsia" w:ascii="黑体" w:hAnsi="宋体" w:eastAsia="黑体"/>
          <w:sz w:val="44"/>
          <w:szCs w:val="44"/>
        </w:rPr>
        <w:t>填表说明</w:t>
      </w:r>
    </w:p>
    <w:p>
      <w:pPr>
        <w:rPr>
          <w:rFonts w:ascii="仿宋_GB2312" w:hAnsi="宋体" w:eastAsia="仿宋_GB2312"/>
        </w:rPr>
      </w:pPr>
      <w:r>
        <w:rPr>
          <w:rFonts w:hint="eastAsia" w:ascii="仿宋_GB2312" w:hAnsi="宋体" w:eastAsia="仿宋_GB2312"/>
        </w:rPr>
        <w:t xml:space="preserve">   </w:t>
      </w:r>
    </w:p>
    <w:p>
      <w:pPr>
        <w:tabs>
          <w:tab w:val="left" w:pos="0"/>
        </w:tabs>
        <w:ind w:firstLine="632" w:firstLineChars="200"/>
        <w:rPr>
          <w:rFonts w:ascii="仿宋_GB2312" w:hAnsi="宋体" w:eastAsia="仿宋_GB2312"/>
        </w:rPr>
      </w:pPr>
      <w:r>
        <w:rPr>
          <w:rFonts w:hint="eastAsia" w:ascii="仿宋_GB2312" w:hAnsi="宋体" w:eastAsia="仿宋_GB2312"/>
        </w:rPr>
        <w:t>一、</w:t>
      </w:r>
      <w:r>
        <w:rPr>
          <w:rFonts w:hint="eastAsia" w:ascii="仿宋_GB2312" w:eastAsia="仿宋_GB2312" w:cs="仿宋_GB2312"/>
          <w:snapToGrid w:val="0"/>
          <w:color w:val="000000"/>
          <w:szCs w:val="22"/>
        </w:rPr>
        <w:t>本表用打印方式填写，</w:t>
      </w:r>
      <w:r>
        <w:rPr>
          <w:rFonts w:hint="eastAsia" w:ascii="仿宋_GB2312" w:hAnsi="宋体" w:eastAsia="仿宋_GB2312"/>
        </w:rPr>
        <w:t>使用仿宋小四号字体，数字统一用阿拉伯数字。</w:t>
      </w:r>
    </w:p>
    <w:p>
      <w:pPr>
        <w:tabs>
          <w:tab w:val="left" w:pos="0"/>
        </w:tabs>
        <w:ind w:firstLine="632" w:firstLineChars="200"/>
        <w:rPr>
          <w:rFonts w:ascii="仿宋_GB2312" w:hAnsi="宋体" w:eastAsia="仿宋_GB2312"/>
        </w:rPr>
      </w:pPr>
      <w:r>
        <w:rPr>
          <w:rFonts w:hint="eastAsia" w:ascii="仿宋_GB2312" w:hAnsi="宋体" w:eastAsia="仿宋_GB2312"/>
        </w:rPr>
        <w:t>二、单位名称必须准确，所属单位填写全称，单位性质选填机关、事业单位、国有企业、集体企业、国有控股企业、民营企业、合资企业或其他。</w:t>
      </w:r>
    </w:p>
    <w:p>
      <w:pPr>
        <w:tabs>
          <w:tab w:val="left" w:pos="0"/>
        </w:tabs>
        <w:ind w:firstLine="632" w:firstLineChars="200"/>
        <w:rPr>
          <w:rFonts w:ascii="仿宋_GB2312" w:hAnsi="宋体" w:eastAsia="仿宋_GB2312"/>
        </w:rPr>
      </w:pPr>
      <w:r>
        <w:rPr>
          <w:rFonts w:hint="eastAsia" w:ascii="仿宋_GB2312" w:hAnsi="宋体" w:eastAsia="仿宋_GB2312"/>
        </w:rPr>
        <w:t>三、资源综合利用工作主要事迹和成果力求简明扼要，重点突出，条理清楚，字数要求2000字左右，可另行附页。</w:t>
      </w:r>
    </w:p>
    <w:p>
      <w:pPr>
        <w:rPr>
          <w:rFonts w:ascii="楷体_GB2312" w:hAnsi="宋体" w:eastAsia="楷体_GB2312"/>
        </w:rPr>
      </w:pPr>
    </w:p>
    <w:p>
      <w:pPr>
        <w:jc w:val="center"/>
        <w:rPr>
          <w:rFonts w:ascii="楷体_GB2312" w:hAnsi="宋体" w:eastAsia="楷体_GB2312"/>
        </w:rPr>
      </w:pPr>
    </w:p>
    <w:p>
      <w:pPr>
        <w:jc w:val="center"/>
        <w:rPr>
          <w:rFonts w:ascii="楷体_GB2312" w:hAnsi="宋体" w:eastAsia="楷体_GB2312"/>
        </w:rPr>
      </w:pPr>
    </w:p>
    <w:p>
      <w:pPr>
        <w:spacing w:line="360" w:lineRule="auto"/>
        <w:jc w:val="center"/>
        <w:rPr>
          <w:rFonts w:ascii="楷体_GB2312" w:hAnsi="宋体" w:eastAsia="楷体_GB2312"/>
          <w:sz w:val="36"/>
          <w:szCs w:val="36"/>
        </w:rPr>
      </w:pPr>
    </w:p>
    <w:p>
      <w:pPr>
        <w:widowControl/>
        <w:spacing w:line="360" w:lineRule="auto"/>
        <w:jc w:val="left"/>
        <w:rPr>
          <w:rFonts w:ascii="楷体_GB2312" w:hAnsi="宋体" w:eastAsia="楷体_GB2312"/>
          <w:sz w:val="36"/>
          <w:szCs w:val="36"/>
        </w:rPr>
        <w:sectPr>
          <w:footerReference r:id="rId3" w:type="default"/>
          <w:pgSz w:w="11906" w:h="16838"/>
          <w:pgMar w:top="2098" w:right="1531" w:bottom="1814" w:left="1531" w:header="851" w:footer="1588" w:gutter="0"/>
          <w:pgNumType w:fmt="numberInDash"/>
          <w:cols w:space="720" w:num="1"/>
          <w:docGrid w:type="linesAndChars" w:linePitch="587" w:charSpace="-849"/>
        </w:sectPr>
      </w:pPr>
    </w:p>
    <w:tbl>
      <w:tblPr>
        <w:tblStyle w:val="8"/>
        <w:tblW w:w="87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6"/>
        <w:gridCol w:w="2890"/>
        <w:gridCol w:w="1731"/>
        <w:gridCol w:w="2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单位名称</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宋体" w:eastAsia="仿宋_GB2312"/>
                <w:sz w:val="24"/>
                <w:lang w:val="en" w:eastAsia="zh-CN"/>
              </w:rPr>
            </w:pPr>
            <w:r>
              <w:rPr>
                <w:rFonts w:hint="eastAsia" w:ascii="仿宋_GB2312" w:hAnsi="宋体" w:eastAsia="仿宋_GB2312"/>
                <w:sz w:val="24"/>
                <w:lang w:val="en" w:eastAsia="zh-CN"/>
              </w:rPr>
              <w:t>聊城市东昌府区工业和信息化局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单位性质</w:t>
            </w:r>
          </w:p>
        </w:tc>
        <w:tc>
          <w:tcPr>
            <w:tcW w:w="28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宋体" w:eastAsia="仿宋_GB2312"/>
                <w:sz w:val="24"/>
                <w:lang w:eastAsia="zh-CN"/>
              </w:rPr>
            </w:pPr>
            <w:r>
              <w:rPr>
                <w:rFonts w:hint="eastAsia" w:ascii="仿宋_GB2312" w:hAnsi="宋体" w:eastAsia="仿宋_GB2312"/>
                <w:sz w:val="24"/>
                <w:lang w:eastAsia="zh-CN"/>
              </w:rPr>
              <w:t>机关</w:t>
            </w:r>
          </w:p>
        </w:tc>
        <w:tc>
          <w:tcPr>
            <w:tcW w:w="173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人数</w:t>
            </w:r>
          </w:p>
        </w:tc>
        <w:tc>
          <w:tcPr>
            <w:tcW w:w="263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主要负责人</w:t>
            </w:r>
          </w:p>
        </w:tc>
        <w:tc>
          <w:tcPr>
            <w:tcW w:w="28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宋体" w:eastAsia="仿宋_GB2312"/>
                <w:sz w:val="24"/>
                <w:lang w:eastAsia="zh-CN"/>
              </w:rPr>
            </w:pPr>
            <w:r>
              <w:rPr>
                <w:rFonts w:hint="eastAsia" w:ascii="仿宋_GB2312" w:hAnsi="宋体" w:eastAsia="仿宋_GB2312"/>
                <w:sz w:val="24"/>
                <w:lang w:eastAsia="zh-CN"/>
              </w:rPr>
              <w:t>岳彩生</w:t>
            </w:r>
          </w:p>
        </w:tc>
        <w:tc>
          <w:tcPr>
            <w:tcW w:w="173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联系人及电话</w:t>
            </w:r>
          </w:p>
        </w:tc>
        <w:tc>
          <w:tcPr>
            <w:tcW w:w="263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eastAsia="zh-CN"/>
              </w:rPr>
            </w:pPr>
            <w:r>
              <w:rPr>
                <w:rFonts w:hint="eastAsia" w:ascii="仿宋_GB2312" w:hAnsi="宋体" w:eastAsia="仿宋_GB2312"/>
                <w:sz w:val="24"/>
                <w:lang w:eastAsia="zh-CN"/>
              </w:rPr>
              <w:t>尹懋华</w:t>
            </w:r>
            <w:r>
              <w:rPr>
                <w:rFonts w:hint="eastAsia" w:ascii="仿宋_GB2312" w:hAnsi="宋体" w:eastAsia="仿宋_GB2312"/>
                <w:sz w:val="24"/>
                <w:lang w:val="en-US" w:eastAsia="zh-CN"/>
              </w:rPr>
              <w:t>18663501856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eastAsia="仿宋_GB2312"/>
                <w:sz w:val="24"/>
              </w:rPr>
              <w:t>电子邮箱</w:t>
            </w:r>
          </w:p>
        </w:tc>
        <w:tc>
          <w:tcPr>
            <w:tcW w:w="28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a2122319@sina.com</w:t>
            </w:r>
          </w:p>
        </w:tc>
        <w:tc>
          <w:tcPr>
            <w:tcW w:w="173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地址及邮编</w:t>
            </w:r>
          </w:p>
        </w:tc>
        <w:tc>
          <w:tcPr>
            <w:tcW w:w="263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宋体" w:eastAsia="仿宋_GB2312"/>
                <w:sz w:val="24"/>
                <w:lang w:val="en-US" w:eastAsia="zh-CN"/>
              </w:rPr>
            </w:pPr>
            <w:r>
              <w:rPr>
                <w:rFonts w:hint="eastAsia" w:ascii="仿宋_GB2312" w:hAnsi="宋体" w:eastAsia="仿宋_GB2312"/>
                <w:sz w:val="24"/>
                <w:lang w:eastAsia="zh-CN"/>
              </w:rPr>
              <w:t>聊城市东昌府区松桂路</w:t>
            </w:r>
            <w:r>
              <w:rPr>
                <w:rFonts w:hint="eastAsia" w:ascii="仿宋_GB2312" w:hAnsi="宋体" w:eastAsia="仿宋_GB2312"/>
                <w:sz w:val="24"/>
                <w:lang w:val="en-US" w:eastAsia="zh-CN"/>
              </w:rPr>
              <w:t>77号 252000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eastAsia="仿宋_GB2312"/>
                <w:sz w:val="24"/>
              </w:rPr>
            </w:pPr>
            <w:r>
              <w:rPr>
                <w:rFonts w:hint="eastAsia" w:ascii="仿宋_GB2312" w:eastAsia="仿宋_GB2312"/>
                <w:sz w:val="24"/>
              </w:rPr>
              <w:t>拟授予称号</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szCs w:val="24"/>
              </w:rPr>
            </w:pPr>
            <w:r>
              <w:rPr>
                <w:rFonts w:hint="eastAsia" w:ascii="仿宋_GB2312" w:hAnsi="仿宋_GB2312" w:eastAsia="仿宋_GB2312" w:cs="仿宋_GB2312"/>
                <w:sz w:val="24"/>
                <w:szCs w:val="24"/>
              </w:rPr>
              <w:t>山东省</w:t>
            </w:r>
            <w:r>
              <w:rPr>
                <w:rFonts w:hint="eastAsia" w:ascii="仿宋_GB2312" w:eastAsia="仿宋_GB2312"/>
                <w:sz w:val="24"/>
                <w:szCs w:val="24"/>
              </w:rPr>
              <w:t>资源综合利用先进单位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2"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单位简介</w:t>
            </w:r>
          </w:p>
          <w:p>
            <w:pPr>
              <w:spacing w:line="440" w:lineRule="exact"/>
              <w:jc w:val="center"/>
              <w:rPr>
                <w:rFonts w:ascii="仿宋_GB2312" w:hAnsi="宋体" w:eastAsia="仿宋_GB2312"/>
                <w:sz w:val="24"/>
              </w:rPr>
            </w:pPr>
            <w:r>
              <w:rPr>
                <w:rFonts w:hint="eastAsia" w:ascii="仿宋_GB2312" w:hAnsi="宋体" w:eastAsia="仿宋_GB2312"/>
                <w:sz w:val="24"/>
              </w:rPr>
              <w:t>（300字）</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line="240" w:lineRule="auto"/>
              <w:ind w:right="0" w:rightChars="0" w:firstLine="472" w:firstLineChars="200"/>
              <w:jc w:val="both"/>
              <w:textAlignment w:val="auto"/>
              <w:outlineLvl w:val="9"/>
              <w:rPr>
                <w:rFonts w:ascii="仿宋_GB2312" w:hAnsi="宋体" w:eastAsia="仿宋_GB2312"/>
                <w:sz w:val="24"/>
              </w:rPr>
            </w:pPr>
            <w:r>
              <w:rPr>
                <w:rFonts w:hint="eastAsia" w:ascii="华文仿宋" w:hAnsi="华文仿宋" w:eastAsia="华文仿宋" w:cs="华文仿宋"/>
                <w:b w:val="0"/>
                <w:bCs w:val="0"/>
                <w:color w:val="auto"/>
                <w:sz w:val="24"/>
                <w:szCs w:val="24"/>
                <w:lang w:val="en-US" w:eastAsia="zh-CN"/>
              </w:rPr>
              <w:t>东昌府区工业和信息化局，为区政府工作部门，正科级规格。负责组织实施全区工业和信息化领域的资源节约、循环经济发展和资源综合利用政策，负责指导全区工业和信息化领域绿色发展工作。“十四五”以来区工信局认真履行全面从严治党的主体责任，狠抓思想政治建设、组织建设、制度建设、党风廉政建设，被中共东昌府区委、区政府授予“2020年度绩效考核优秀单位”，被中共东昌府区委评为“东昌府区先进基层党组织称号”，被聊城市精神文明建设委员会评为“2021年度市级精神文明单位”</w:t>
            </w:r>
            <w:r>
              <w:rPr>
                <w:rFonts w:hint="eastAsia" w:ascii="华文仿宋" w:hAnsi="华文仿宋" w:eastAsia="华文仿宋" w:cs="华文仿宋"/>
                <w:b w:val="0"/>
                <w:bCs w:val="0"/>
                <w:color w:val="auto"/>
                <w:sz w:val="24"/>
                <w:szCs w:val="24"/>
                <w:lang w:val="en" w:eastAsia="zh-CN"/>
              </w:rPr>
              <w:t>，被中共东昌府区委办公室评为东昌府区“第一批节约型机关”。</w:t>
            </w:r>
            <w:r>
              <w:rPr>
                <w:rFonts w:hint="eastAsia" w:ascii="华文仿宋" w:hAnsi="华文仿宋" w:eastAsia="华文仿宋" w:cs="华文仿宋"/>
                <w:b w:val="0"/>
                <w:bCs w:val="0"/>
                <w:color w:val="auto"/>
                <w:sz w:val="24"/>
                <w:szCs w:val="24"/>
                <w:lang w:val="en-US" w:eastAsia="zh-CN"/>
              </w:rPr>
              <w:t>区工信局党组书记、局长岳彩生同志获得省人社厅、省工信厅授予的“山东省工业和信息化系统先进个人”荣誉称号。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主要事迹和成果（2000字）</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仿宋_GB2312" w:hAnsi="宋体" w:eastAsia="仿宋_GB2312"/>
                <w:sz w:val="24"/>
              </w:rPr>
            </w:pPr>
          </w:p>
          <w:p>
            <w:pPr>
              <w:ind w:right="0" w:rightChars="0"/>
              <w:jc w:val="center"/>
              <w:rPr>
                <w:rFonts w:hint="eastAsia" w:ascii="华文仿宋" w:hAnsi="华文仿宋" w:eastAsia="华文仿宋" w:cs="华文仿宋"/>
                <w:b/>
                <w:bCs/>
                <w:sz w:val="24"/>
                <w:szCs w:val="24"/>
                <w:lang w:val="en-US" w:eastAsia="zh-CN"/>
              </w:rPr>
            </w:pPr>
            <w:r>
              <w:rPr>
                <w:rFonts w:hint="eastAsia" w:ascii="华文仿宋" w:hAnsi="华文仿宋" w:eastAsia="华文仿宋" w:cs="华文仿宋"/>
                <w:b/>
                <w:bCs/>
                <w:sz w:val="24"/>
                <w:szCs w:val="24"/>
                <w:lang w:val="en-US" w:eastAsia="zh-CN"/>
              </w:rPr>
              <w:t>东昌府区“四个强化”全面助力资源综合利用效能提升</w:t>
            </w:r>
          </w:p>
          <w:p>
            <w:pPr>
              <w:jc w:val="center"/>
              <w:rPr>
                <w:rFonts w:hint="eastAsia" w:ascii="华文仿宋" w:hAnsi="华文仿宋" w:eastAsia="华文仿宋" w:cs="华文仿宋"/>
                <w:b w:val="0"/>
                <w:bCs w:val="0"/>
                <w:sz w:val="24"/>
                <w:szCs w:val="24"/>
                <w:lang w:val="en-US" w:eastAsia="zh-CN"/>
              </w:rPr>
            </w:pPr>
            <w:r>
              <w:rPr>
                <w:rFonts w:hint="eastAsia" w:ascii="华文仿宋" w:hAnsi="华文仿宋" w:eastAsia="华文仿宋" w:cs="华文仿宋"/>
                <w:b w:val="0"/>
                <w:bCs w:val="0"/>
                <w:sz w:val="24"/>
                <w:szCs w:val="24"/>
                <w:lang w:val="en-US" w:eastAsia="zh-CN"/>
              </w:rPr>
              <w:t>东昌府区工业和信息化局</w:t>
            </w:r>
          </w:p>
          <w:p>
            <w:pPr>
              <w:ind w:firstLine="472" w:firstLineChars="200"/>
              <w:jc w:val="both"/>
              <w:rPr>
                <w:rFonts w:hint="eastAsia" w:ascii="华文仿宋" w:hAnsi="华文仿宋" w:eastAsia="华文仿宋" w:cs="华文仿宋"/>
                <w:b w:val="0"/>
                <w:bCs w:val="0"/>
                <w:sz w:val="24"/>
                <w:szCs w:val="24"/>
                <w:lang w:val="en-US" w:eastAsia="zh-CN"/>
              </w:rPr>
            </w:pPr>
            <w:r>
              <w:rPr>
                <w:rFonts w:hint="eastAsia" w:ascii="华文仿宋" w:hAnsi="华文仿宋" w:eastAsia="华文仿宋" w:cs="华文仿宋"/>
                <w:b w:val="0"/>
                <w:bCs w:val="0"/>
                <w:sz w:val="24"/>
                <w:szCs w:val="24"/>
                <w:lang w:eastAsia="zh-CN"/>
              </w:rPr>
              <w:t>东昌府区工信局</w:t>
            </w:r>
            <w:r>
              <w:rPr>
                <w:rFonts w:hint="eastAsia" w:ascii="华文仿宋" w:hAnsi="华文仿宋" w:eastAsia="华文仿宋" w:cs="华文仿宋"/>
                <w:b w:val="0"/>
                <w:bCs w:val="0"/>
                <w:sz w:val="24"/>
                <w:szCs w:val="24"/>
                <w:lang w:val="en-US" w:eastAsia="zh-CN"/>
              </w:rPr>
              <w:t>深入贯彻落实习近平总书记生态文明思想和绿色发展理念，因地制宜、做好四个“强化”，全面</w:t>
            </w:r>
            <w:r>
              <w:rPr>
                <w:rFonts w:hint="eastAsia" w:ascii="华文仿宋" w:hAnsi="华文仿宋" w:eastAsia="华文仿宋" w:cs="华文仿宋"/>
                <w:b w:val="0"/>
                <w:bCs w:val="0"/>
                <w:sz w:val="24"/>
                <w:szCs w:val="24"/>
                <w:lang w:eastAsia="zh-CN"/>
              </w:rPr>
              <w:t>推进工业</w:t>
            </w:r>
            <w:r>
              <w:rPr>
                <w:rFonts w:hint="eastAsia" w:ascii="华文仿宋" w:hAnsi="华文仿宋" w:eastAsia="华文仿宋" w:cs="华文仿宋"/>
                <w:b w:val="0"/>
                <w:bCs w:val="0"/>
                <w:sz w:val="24"/>
                <w:szCs w:val="24"/>
                <w:lang w:val="en-US" w:eastAsia="zh-CN"/>
              </w:rPr>
              <w:t>固废</w:t>
            </w:r>
            <w:r>
              <w:rPr>
                <w:rFonts w:hint="eastAsia" w:ascii="华文仿宋" w:hAnsi="华文仿宋" w:eastAsia="华文仿宋" w:cs="华文仿宋"/>
                <w:b w:val="0"/>
                <w:bCs w:val="0"/>
                <w:sz w:val="24"/>
                <w:szCs w:val="24"/>
                <w:lang w:eastAsia="zh-CN"/>
              </w:rPr>
              <w:t>综合利用项目建设，大力发展循环经济，</w:t>
            </w:r>
            <w:r>
              <w:rPr>
                <w:rFonts w:hint="eastAsia" w:ascii="华文仿宋" w:hAnsi="华文仿宋" w:eastAsia="华文仿宋" w:cs="华文仿宋"/>
                <w:b w:val="0"/>
                <w:bCs w:val="0"/>
                <w:sz w:val="24"/>
                <w:szCs w:val="24"/>
                <w:lang w:val="en-US" w:eastAsia="zh-CN"/>
              </w:rPr>
              <w:t>助力资源综合利用效能提升，促进工业经济高质量发展。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240" w:lineRule="auto"/>
              <w:ind w:right="0" w:rightChars="0" w:firstLine="472" w:firstLineChars="200"/>
              <w:jc w:val="both"/>
              <w:textAlignment w:val="auto"/>
              <w:outlineLvl w:val="9"/>
              <w:rPr>
                <w:rFonts w:hint="eastAsia" w:ascii="华文仿宋" w:hAnsi="华文仿宋" w:eastAsia="华文仿宋" w:cs="华文仿宋"/>
                <w:b w:val="0"/>
                <w:bCs w:val="0"/>
                <w:color w:val="auto"/>
                <w:sz w:val="24"/>
                <w:szCs w:val="24"/>
                <w:lang w:val="en-US" w:eastAsia="zh-CN"/>
              </w:rPr>
            </w:pPr>
            <w:r>
              <w:rPr>
                <w:rFonts w:hint="eastAsia" w:ascii="华文仿宋" w:hAnsi="华文仿宋" w:eastAsia="华文仿宋" w:cs="华文仿宋"/>
                <w:b w:val="0"/>
                <w:bCs w:val="0"/>
                <w:color w:val="auto"/>
                <w:sz w:val="24"/>
                <w:szCs w:val="24"/>
                <w:lang w:eastAsia="zh-CN"/>
              </w:rPr>
              <w:t>目前东昌府区辖区内共有一般工业固废、再生资源综合利用、再生水利用等各类资源综合利用企业</w:t>
            </w:r>
            <w:r>
              <w:rPr>
                <w:rFonts w:hint="eastAsia" w:ascii="华文仿宋" w:hAnsi="华文仿宋" w:eastAsia="华文仿宋" w:cs="华文仿宋"/>
                <w:b w:val="0"/>
                <w:bCs w:val="0"/>
                <w:color w:val="auto"/>
                <w:sz w:val="24"/>
                <w:szCs w:val="24"/>
                <w:lang w:val="en-US" w:eastAsia="zh-CN"/>
              </w:rPr>
              <w:t>26户</w:t>
            </w:r>
            <w:r>
              <w:rPr>
                <w:rFonts w:hint="eastAsia" w:ascii="华文仿宋" w:hAnsi="华文仿宋" w:eastAsia="华文仿宋" w:cs="华文仿宋"/>
                <w:b w:val="0"/>
                <w:bCs w:val="0"/>
                <w:color w:val="auto"/>
                <w:sz w:val="24"/>
                <w:szCs w:val="24"/>
                <w:lang w:eastAsia="zh-CN"/>
              </w:rPr>
              <w:t>，再生资源回收企业</w:t>
            </w:r>
            <w:r>
              <w:rPr>
                <w:rFonts w:hint="eastAsia" w:ascii="华文仿宋" w:hAnsi="华文仿宋" w:eastAsia="华文仿宋" w:cs="华文仿宋"/>
                <w:b w:val="0"/>
                <w:bCs w:val="0"/>
                <w:color w:val="auto"/>
                <w:sz w:val="24"/>
                <w:szCs w:val="24"/>
                <w:lang w:val="en-US" w:eastAsia="zh-CN"/>
              </w:rPr>
              <w:t>56户</w:t>
            </w:r>
            <w:r>
              <w:rPr>
                <w:rFonts w:hint="eastAsia" w:ascii="华文仿宋" w:hAnsi="华文仿宋" w:eastAsia="华文仿宋" w:cs="华文仿宋"/>
                <w:b w:val="0"/>
                <w:bCs w:val="0"/>
                <w:color w:val="auto"/>
                <w:sz w:val="24"/>
                <w:szCs w:val="24"/>
              </w:rPr>
              <w:t>，</w:t>
            </w:r>
            <w:r>
              <w:rPr>
                <w:rFonts w:hint="eastAsia" w:ascii="华文仿宋" w:hAnsi="华文仿宋" w:eastAsia="华文仿宋" w:cs="华文仿宋"/>
                <w:b w:val="0"/>
                <w:bCs w:val="0"/>
                <w:color w:val="auto"/>
                <w:sz w:val="24"/>
                <w:szCs w:val="24"/>
                <w:lang w:val="en-US" w:eastAsia="zh-CN"/>
              </w:rPr>
              <w:t>2021年共利用粉煤灰、</w:t>
            </w:r>
            <w:r>
              <w:rPr>
                <w:rFonts w:hint="eastAsia" w:ascii="华文仿宋" w:hAnsi="华文仿宋" w:eastAsia="华文仿宋" w:cs="华文仿宋"/>
                <w:b w:val="0"/>
                <w:bCs w:val="0"/>
                <w:color w:val="auto"/>
                <w:sz w:val="24"/>
                <w:szCs w:val="24"/>
                <w:lang w:eastAsia="zh-CN"/>
              </w:rPr>
              <w:t>石膏等一般工业固废</w:t>
            </w:r>
            <w:r>
              <w:rPr>
                <w:rFonts w:hint="eastAsia" w:ascii="华文仿宋" w:hAnsi="华文仿宋" w:eastAsia="华文仿宋" w:cs="华文仿宋"/>
                <w:b w:val="0"/>
                <w:bCs w:val="0"/>
                <w:color w:val="auto"/>
                <w:sz w:val="24"/>
                <w:szCs w:val="24"/>
                <w:lang w:val="en-US" w:eastAsia="zh-CN"/>
              </w:rPr>
              <w:t>92.75万吨。共利用废铁、废铜、废塑料等各类再生资源3</w:t>
            </w:r>
            <w:r>
              <w:rPr>
                <w:rFonts w:hint="eastAsia" w:ascii="华文仿宋" w:hAnsi="华文仿宋" w:eastAsia="华文仿宋" w:cs="华文仿宋"/>
                <w:b w:val="0"/>
                <w:bCs w:val="0"/>
                <w:color w:val="auto"/>
                <w:sz w:val="24"/>
                <w:szCs w:val="24"/>
                <w:lang w:val="en" w:eastAsia="zh-CN"/>
              </w:rPr>
              <w:t>8</w:t>
            </w:r>
            <w:r>
              <w:rPr>
                <w:rFonts w:hint="eastAsia" w:ascii="华文仿宋" w:hAnsi="华文仿宋" w:eastAsia="华文仿宋" w:cs="华文仿宋"/>
                <w:b w:val="0"/>
                <w:bCs w:val="0"/>
                <w:color w:val="auto"/>
                <w:sz w:val="24"/>
                <w:szCs w:val="24"/>
                <w:lang w:val="en-US" w:eastAsia="zh-CN"/>
              </w:rPr>
              <w:t>.</w:t>
            </w:r>
            <w:r>
              <w:rPr>
                <w:rFonts w:hint="eastAsia" w:ascii="华文仿宋" w:hAnsi="华文仿宋" w:eastAsia="华文仿宋" w:cs="华文仿宋"/>
                <w:b w:val="0"/>
                <w:bCs w:val="0"/>
                <w:color w:val="auto"/>
                <w:sz w:val="24"/>
                <w:szCs w:val="24"/>
                <w:lang w:val="en" w:eastAsia="zh-CN"/>
              </w:rPr>
              <w:t>2</w:t>
            </w:r>
            <w:r>
              <w:rPr>
                <w:rFonts w:hint="eastAsia" w:ascii="华文仿宋" w:hAnsi="华文仿宋" w:eastAsia="华文仿宋" w:cs="华文仿宋"/>
                <w:b w:val="0"/>
                <w:bCs w:val="0"/>
                <w:color w:val="auto"/>
                <w:sz w:val="24"/>
                <w:szCs w:val="24"/>
                <w:lang w:val="en-US" w:eastAsia="zh-CN"/>
              </w:rPr>
              <w:t>5万吨。共利用再生水878.76万立方米。聊城康达垃圾处理有限公司利用城市生活垃圾28.42万吨进行发电，聊城市环科餐厨垃圾处理有限公司对餐厨废弃物的无害化处置和资源化利用达到7.04万吨、聊城国环污泥处置有限公司对市政污水处理厂产生的市政污泥进行处置和资源化利用共处置4.4万吨。目前我区粉煤灰、脱硫石膏、炉渣综合利用率均在99%以上。</w:t>
            </w:r>
          </w:p>
          <w:p>
            <w:pPr>
              <w:pStyle w:val="14"/>
              <w:widowControl w:val="0"/>
              <w:overflowPunct w:val="0"/>
              <w:spacing w:before="0" w:beforeLines="0" w:beforeAutospacing="0" w:after="0" w:afterLines="0" w:afterAutospacing="0" w:line="580" w:lineRule="exact"/>
              <w:ind w:firstLine="472" w:firstLineChars="200"/>
              <w:jc w:val="both"/>
              <w:rPr>
                <w:rStyle w:val="10"/>
                <w:rFonts w:hint="eastAsia" w:ascii="华文仿宋" w:hAnsi="华文仿宋" w:eastAsia="华文仿宋" w:cs="华文仿宋"/>
                <w:b w:val="0"/>
                <w:bCs w:val="0"/>
                <w:kern w:val="0"/>
                <w:sz w:val="24"/>
                <w:szCs w:val="24"/>
                <w:lang w:val="en-US" w:eastAsia="zh-CN" w:bidi="ar"/>
              </w:rPr>
            </w:pPr>
            <w:r>
              <w:rPr>
                <w:rStyle w:val="10"/>
                <w:rFonts w:hint="eastAsia" w:ascii="华文仿宋" w:hAnsi="华文仿宋" w:eastAsia="华文仿宋" w:cs="华文仿宋"/>
                <w:b w:val="0"/>
                <w:bCs w:val="0"/>
                <w:kern w:val="0"/>
                <w:sz w:val="24"/>
                <w:szCs w:val="24"/>
                <w:lang w:val="en-US" w:eastAsia="zh-CN" w:bidi="ar"/>
              </w:rPr>
              <w:t>一、强化工业固废盘活，促进工业资源协同利用。</w:t>
            </w:r>
          </w:p>
          <w:p>
            <w:pPr>
              <w:keepNext w:val="0"/>
              <w:keepLines w:val="0"/>
              <w:widowControl/>
              <w:suppressLineNumbers w:val="0"/>
              <w:ind w:firstLine="472" w:firstLineChars="200"/>
              <w:jc w:val="both"/>
              <w:rPr>
                <w:rFonts w:hint="eastAsia" w:ascii="华文仿宋" w:hAnsi="华文仿宋" w:eastAsia="华文仿宋" w:cs="华文仿宋"/>
                <w:b w:val="0"/>
                <w:bCs w:val="0"/>
                <w:sz w:val="24"/>
                <w:szCs w:val="24"/>
                <w:lang w:val="en-US" w:eastAsia="zh-CN"/>
              </w:rPr>
            </w:pPr>
            <w:r>
              <w:rPr>
                <w:rFonts w:hint="eastAsia" w:ascii="华文仿宋" w:hAnsi="华文仿宋" w:eastAsia="华文仿宋" w:cs="华文仿宋"/>
                <w:b w:val="0"/>
                <w:bCs w:val="0"/>
                <w:sz w:val="24"/>
                <w:szCs w:val="24"/>
                <w:lang w:val="en-US" w:eastAsia="zh-CN"/>
              </w:rPr>
              <w:t>一是塑造循环经济发展新模式。</w:t>
            </w:r>
            <w:r>
              <w:rPr>
                <w:rFonts w:hint="eastAsia" w:ascii="华文仿宋" w:hAnsi="华文仿宋" w:eastAsia="华文仿宋" w:cs="华文仿宋"/>
                <w:b w:val="0"/>
                <w:bCs w:val="0"/>
                <w:sz w:val="24"/>
                <w:szCs w:val="24"/>
                <w:lang w:eastAsia="zh-CN"/>
              </w:rPr>
              <w:t>形成独特的“企业小循环、产业中循环、区域大循环”的循环经济发展模式。</w:t>
            </w:r>
            <w:r>
              <w:rPr>
                <w:rFonts w:hint="eastAsia" w:ascii="华文仿宋" w:hAnsi="华文仿宋" w:eastAsia="华文仿宋" w:cs="华文仿宋"/>
                <w:b w:val="0"/>
                <w:bCs w:val="0"/>
                <w:sz w:val="24"/>
                <w:szCs w:val="24"/>
              </w:rPr>
              <w:t>国环产业投资</w:t>
            </w:r>
            <w:r>
              <w:rPr>
                <w:rFonts w:hint="eastAsia" w:ascii="华文仿宋" w:hAnsi="华文仿宋" w:eastAsia="华文仿宋" w:cs="华文仿宋"/>
                <w:b w:val="0"/>
                <w:bCs w:val="0"/>
                <w:sz w:val="24"/>
                <w:szCs w:val="24"/>
                <w:lang w:eastAsia="zh-CN"/>
              </w:rPr>
              <w:t>公司</w:t>
            </w:r>
            <w:r>
              <w:rPr>
                <w:rFonts w:hint="eastAsia" w:ascii="华文仿宋" w:hAnsi="华文仿宋" w:eastAsia="华文仿宋" w:cs="华文仿宋"/>
                <w:b w:val="0"/>
                <w:bCs w:val="0"/>
                <w:sz w:val="24"/>
                <w:szCs w:val="24"/>
                <w:lang w:val="en-US" w:eastAsia="zh-CN"/>
              </w:rPr>
              <w:t>利用</w:t>
            </w:r>
            <w:r>
              <w:rPr>
                <w:rFonts w:hint="eastAsia" w:ascii="华文仿宋" w:hAnsi="华文仿宋" w:eastAsia="华文仿宋" w:cs="华文仿宋"/>
                <w:b w:val="0"/>
                <w:bCs w:val="0"/>
                <w:sz w:val="24"/>
                <w:szCs w:val="24"/>
              </w:rPr>
              <w:t>低值废弃物及再生资源</w:t>
            </w:r>
            <w:r>
              <w:rPr>
                <w:rFonts w:hint="eastAsia" w:ascii="华文仿宋" w:hAnsi="华文仿宋" w:eastAsia="华文仿宋" w:cs="华文仿宋"/>
                <w:b w:val="0"/>
                <w:bCs w:val="0"/>
                <w:sz w:val="24"/>
                <w:szCs w:val="24"/>
                <w:lang w:eastAsia="zh-CN"/>
              </w:rPr>
              <w:t>、</w:t>
            </w:r>
            <w:r>
              <w:rPr>
                <w:rFonts w:hint="eastAsia" w:ascii="华文仿宋" w:hAnsi="华文仿宋" w:eastAsia="华文仿宋" w:cs="华文仿宋"/>
                <w:b w:val="0"/>
                <w:bCs w:val="0"/>
                <w:color w:val="auto"/>
                <w:sz w:val="24"/>
                <w:szCs w:val="24"/>
                <w:lang w:eastAsia="zh-CN"/>
              </w:rPr>
              <w:t>山水水泥、昌冠建材、润发新型建材等企业</w:t>
            </w:r>
            <w:r>
              <w:rPr>
                <w:rFonts w:hint="eastAsia" w:ascii="华文仿宋" w:hAnsi="华文仿宋" w:eastAsia="华文仿宋" w:cs="华文仿宋"/>
                <w:b w:val="0"/>
                <w:bCs w:val="0"/>
                <w:sz w:val="24"/>
                <w:szCs w:val="24"/>
                <w:lang w:eastAsia="zh-CN"/>
              </w:rPr>
              <w:t>利用工业废渣</w:t>
            </w:r>
            <w:r>
              <w:rPr>
                <w:rFonts w:hint="eastAsia" w:ascii="华文仿宋" w:hAnsi="华文仿宋" w:eastAsia="华文仿宋" w:cs="华文仿宋"/>
                <w:b w:val="0"/>
                <w:bCs w:val="0"/>
                <w:sz w:val="24"/>
                <w:szCs w:val="24"/>
                <w:lang w:val="en-US" w:eastAsia="zh-CN"/>
              </w:rPr>
              <w:t>生产砌块、水泥等</w:t>
            </w:r>
            <w:r>
              <w:rPr>
                <w:rFonts w:hint="eastAsia" w:ascii="华文仿宋" w:hAnsi="华文仿宋" w:eastAsia="华文仿宋" w:cs="华文仿宋"/>
                <w:b w:val="0"/>
                <w:bCs w:val="0"/>
                <w:sz w:val="24"/>
                <w:szCs w:val="24"/>
                <w:lang w:eastAsia="zh-CN"/>
              </w:rPr>
              <w:t>建材，</w:t>
            </w:r>
            <w:r>
              <w:rPr>
                <w:rFonts w:hint="eastAsia" w:ascii="华文仿宋" w:hAnsi="华文仿宋" w:eastAsia="华文仿宋" w:cs="华文仿宋"/>
                <w:b w:val="0"/>
                <w:bCs w:val="0"/>
                <w:kern w:val="0"/>
                <w:sz w:val="24"/>
                <w:szCs w:val="24"/>
              </w:rPr>
              <w:t>力得制动</w:t>
            </w:r>
            <w:r>
              <w:rPr>
                <w:rFonts w:hint="eastAsia" w:ascii="华文仿宋" w:hAnsi="华文仿宋" w:eastAsia="华文仿宋" w:cs="华文仿宋"/>
                <w:b w:val="0"/>
                <w:bCs w:val="0"/>
                <w:kern w:val="0"/>
                <w:sz w:val="24"/>
                <w:szCs w:val="24"/>
                <w:lang w:val="en-US" w:eastAsia="zh-CN"/>
              </w:rPr>
              <w:t>利用</w:t>
            </w:r>
            <w:r>
              <w:rPr>
                <w:rFonts w:hint="eastAsia" w:ascii="华文仿宋" w:hAnsi="华文仿宋" w:eastAsia="华文仿宋" w:cs="华文仿宋"/>
                <w:b w:val="0"/>
                <w:bCs w:val="0"/>
                <w:sz w:val="24"/>
                <w:szCs w:val="24"/>
              </w:rPr>
              <w:t>废钢</w:t>
            </w:r>
            <w:r>
              <w:rPr>
                <w:rFonts w:hint="eastAsia" w:ascii="华文仿宋" w:hAnsi="华文仿宋" w:eastAsia="华文仿宋" w:cs="华文仿宋"/>
                <w:b w:val="0"/>
                <w:bCs w:val="0"/>
                <w:sz w:val="24"/>
                <w:szCs w:val="24"/>
                <w:lang w:eastAsia="zh-CN"/>
              </w:rPr>
              <w:t>生产</w:t>
            </w:r>
            <w:r>
              <w:rPr>
                <w:rFonts w:hint="eastAsia" w:ascii="华文仿宋" w:hAnsi="华文仿宋" w:eastAsia="华文仿宋" w:cs="华文仿宋"/>
                <w:b w:val="0"/>
                <w:bCs w:val="0"/>
                <w:kern w:val="2"/>
                <w:sz w:val="24"/>
                <w:szCs w:val="24"/>
                <w:u w:val="none"/>
                <w:lang w:val="en-US" w:eastAsia="zh-CN" w:bidi="ar-SA"/>
              </w:rPr>
              <w:t>高端汽车零部件</w:t>
            </w:r>
            <w:r>
              <w:rPr>
                <w:rFonts w:hint="eastAsia" w:ascii="华文仿宋" w:hAnsi="华文仿宋" w:eastAsia="华文仿宋" w:cs="华文仿宋"/>
                <w:b w:val="0"/>
                <w:bCs w:val="0"/>
                <w:sz w:val="24"/>
                <w:szCs w:val="24"/>
                <w:lang w:eastAsia="zh-CN"/>
              </w:rPr>
              <w:t>。二是延伸产业链条。</w:t>
            </w:r>
            <w:r>
              <w:rPr>
                <w:rFonts w:hint="eastAsia" w:ascii="华文仿宋" w:hAnsi="华文仿宋" w:eastAsia="华文仿宋" w:cs="华文仿宋"/>
                <w:b w:val="0"/>
                <w:bCs w:val="0"/>
                <w:kern w:val="2"/>
                <w:sz w:val="24"/>
                <w:szCs w:val="24"/>
                <w:u w:val="none"/>
                <w:lang w:val="en-US" w:eastAsia="zh-CN" w:bidi="ar-SA"/>
              </w:rPr>
              <w:t>着力培育壮大一批节能环保领域重点项目和骨干企业，重点扶持了山东力得制动科技有限公司的年产100万套气压盘式制动器和铝合金轮毂建设项目，实现了废钢加工关键核心技术突破，同时以此为依托构建了产业链，现有从事废旧金属回收的经营户55家。三</w:t>
            </w:r>
            <w:r>
              <w:rPr>
                <w:rFonts w:hint="eastAsia" w:ascii="华文仿宋" w:hAnsi="华文仿宋" w:eastAsia="华文仿宋" w:cs="华文仿宋"/>
                <w:b w:val="0"/>
                <w:bCs w:val="0"/>
                <w:sz w:val="24"/>
                <w:szCs w:val="24"/>
                <w:lang w:val="en-US" w:eastAsia="zh-CN"/>
              </w:rPr>
              <w:t>是规范行业标准。对标行业规范（准入）条件，组织申报工信部再生资源综合利用行业规范企业，推动再生资源综合利用企业规范健康发展。今年9月份，协助聊城市劲发再生资源有限公司申报了2022年度再生资源综合利用规范企业，目前已通过国家评审，进入现场核查阶段，全市仅此1家。四是落实税收优惠政策。2021以来，我区共有16家资源综合利用企业按照新政策享受了增值税即征即退优惠政策，退税额度达1397.62万元，有效激发了市场主体推动资源综合利用的积极性。</w:t>
            </w:r>
          </w:p>
          <w:p>
            <w:pPr>
              <w:pStyle w:val="14"/>
              <w:widowControl w:val="0"/>
              <w:overflowPunct w:val="0"/>
              <w:spacing w:before="0" w:beforeLines="0" w:beforeAutospacing="0" w:after="0" w:afterLines="0" w:afterAutospacing="0" w:line="580" w:lineRule="exact"/>
              <w:ind w:firstLine="472" w:firstLineChars="200"/>
              <w:jc w:val="both"/>
              <w:rPr>
                <w:rStyle w:val="10"/>
                <w:rFonts w:hint="eastAsia" w:ascii="华文仿宋" w:hAnsi="华文仿宋" w:eastAsia="华文仿宋" w:cs="华文仿宋"/>
                <w:b w:val="0"/>
                <w:bCs w:val="0"/>
                <w:kern w:val="0"/>
                <w:sz w:val="24"/>
                <w:szCs w:val="24"/>
                <w:lang w:val="en-US" w:eastAsia="zh-CN" w:bidi="ar"/>
              </w:rPr>
            </w:pPr>
            <w:r>
              <w:rPr>
                <w:rStyle w:val="10"/>
                <w:rFonts w:hint="eastAsia" w:ascii="华文仿宋" w:hAnsi="华文仿宋" w:eastAsia="华文仿宋" w:cs="华文仿宋"/>
                <w:b w:val="0"/>
                <w:bCs w:val="0"/>
                <w:kern w:val="0"/>
                <w:sz w:val="24"/>
                <w:szCs w:val="24"/>
                <w:lang w:val="en-US" w:eastAsia="zh-CN" w:bidi="ar"/>
              </w:rPr>
              <w:t>二、强化绿色制造体系建设，推动工业绿色低碳转型。</w:t>
            </w:r>
          </w:p>
          <w:p>
            <w:pPr>
              <w:numPr>
                <w:ilvl w:val="0"/>
                <w:numId w:val="0"/>
              </w:numPr>
              <w:ind w:firstLine="472" w:firstLineChars="200"/>
              <w:jc w:val="both"/>
              <w:rPr>
                <w:rFonts w:hint="eastAsia" w:ascii="华文仿宋" w:hAnsi="华文仿宋" w:eastAsia="华文仿宋" w:cs="华文仿宋"/>
                <w:b w:val="0"/>
                <w:bCs w:val="0"/>
                <w:sz w:val="24"/>
                <w:szCs w:val="24"/>
                <w:lang w:val="en-US" w:eastAsia="zh-CN"/>
              </w:rPr>
            </w:pPr>
            <w:r>
              <w:rPr>
                <w:rFonts w:hint="eastAsia" w:ascii="华文仿宋" w:hAnsi="华文仿宋" w:eastAsia="华文仿宋" w:cs="华文仿宋"/>
                <w:b w:val="0"/>
                <w:bCs w:val="0"/>
                <w:i w:val="0"/>
                <w:caps w:val="0"/>
                <w:color w:val="222222"/>
                <w:spacing w:val="0"/>
                <w:sz w:val="24"/>
                <w:szCs w:val="24"/>
                <w:shd w:val="clear" w:color="auto" w:fill="FFFFFF"/>
                <w:lang w:eastAsia="zh-CN"/>
              </w:rPr>
              <w:t>一是</w:t>
            </w:r>
            <w:r>
              <w:rPr>
                <w:rFonts w:hint="eastAsia" w:ascii="华文仿宋" w:hAnsi="华文仿宋" w:eastAsia="华文仿宋" w:cs="华文仿宋"/>
                <w:b w:val="0"/>
                <w:bCs w:val="0"/>
                <w:i w:val="0"/>
                <w:caps w:val="0"/>
                <w:color w:val="222222"/>
                <w:spacing w:val="0"/>
                <w:sz w:val="24"/>
                <w:szCs w:val="24"/>
                <w:shd w:val="clear" w:color="auto" w:fill="FFFFFF"/>
                <w:lang w:val="en-US" w:eastAsia="zh-CN"/>
              </w:rPr>
              <w:t>营造发展绿色经济良好氛围</w:t>
            </w:r>
            <w:r>
              <w:rPr>
                <w:rFonts w:hint="eastAsia" w:ascii="华文仿宋" w:hAnsi="华文仿宋" w:eastAsia="华文仿宋" w:cs="华文仿宋"/>
                <w:b w:val="0"/>
                <w:bCs w:val="0"/>
                <w:i w:val="0"/>
                <w:caps w:val="0"/>
                <w:color w:val="222222"/>
                <w:spacing w:val="0"/>
                <w:sz w:val="24"/>
                <w:szCs w:val="24"/>
                <w:shd w:val="clear" w:color="auto" w:fill="FFFFFF"/>
                <w:lang w:eastAsia="zh-CN"/>
              </w:rPr>
              <w:t>。制定</w:t>
            </w:r>
            <w:r>
              <w:rPr>
                <w:rFonts w:hint="eastAsia" w:ascii="华文仿宋" w:hAnsi="华文仿宋" w:eastAsia="华文仿宋" w:cs="华文仿宋"/>
                <w:b w:val="0"/>
                <w:bCs w:val="0"/>
                <w:sz w:val="24"/>
                <w:szCs w:val="24"/>
                <w:lang w:val="en-US" w:eastAsia="zh-CN"/>
              </w:rPr>
              <w:t>《东昌府区“十四五”工业绿色发展实施方案》并印制下发，为推动全区绿色低碳转型提供依据和遵循。编制印发了东昌府区工业和信息化领域节能节水技术产品推广手册，营造良好氛围，使绿色发展的理念深入人心。二是打造绿色制造标杆典型</w:t>
            </w:r>
            <w:r>
              <w:rPr>
                <w:rFonts w:hint="eastAsia" w:ascii="华文仿宋" w:hAnsi="华文仿宋" w:eastAsia="华文仿宋" w:cs="华文仿宋"/>
                <w:b w:val="0"/>
                <w:bCs w:val="0"/>
                <w:sz w:val="24"/>
                <w:szCs w:val="24"/>
                <w:lang w:eastAsia="zh-CN"/>
              </w:rPr>
              <w:t>。目前我区有国家级绿色工厂</w:t>
            </w:r>
            <w:r>
              <w:rPr>
                <w:rFonts w:hint="eastAsia" w:ascii="华文仿宋" w:hAnsi="华文仿宋" w:eastAsia="华文仿宋" w:cs="华文仿宋"/>
                <w:b w:val="0"/>
                <w:bCs w:val="0"/>
                <w:sz w:val="24"/>
                <w:szCs w:val="24"/>
                <w:lang w:val="en-US" w:eastAsia="zh-CN"/>
              </w:rPr>
              <w:t>1家（山水水泥）、省级绿色工厂2家（鑫鹏源、金帝）、市级绿色工厂3家（天工岩土、鑫大变压器、齐鲁油漆）</w:t>
            </w:r>
            <w:r>
              <w:rPr>
                <w:rFonts w:hint="eastAsia" w:ascii="华文仿宋" w:hAnsi="华文仿宋" w:eastAsia="华文仿宋" w:cs="华文仿宋"/>
                <w:b w:val="0"/>
                <w:bCs w:val="0"/>
                <w:sz w:val="24"/>
                <w:szCs w:val="24"/>
              </w:rPr>
              <w:t>。</w:t>
            </w:r>
            <w:r>
              <w:rPr>
                <w:rFonts w:hint="eastAsia" w:ascii="华文仿宋" w:hAnsi="华文仿宋" w:eastAsia="华文仿宋" w:cs="华文仿宋"/>
                <w:b w:val="0"/>
                <w:bCs w:val="0"/>
                <w:sz w:val="24"/>
                <w:szCs w:val="24"/>
                <w:lang w:val="en-US" w:eastAsia="zh-CN"/>
              </w:rPr>
              <w:t>其中天工岩土、鑫大变压器为2022年新创建企业，金帝精密机械为新增省级绿色工厂。三是引导企业节能诊断</w:t>
            </w:r>
            <w:r>
              <w:rPr>
                <w:rFonts w:hint="eastAsia" w:ascii="华文仿宋" w:hAnsi="华文仿宋" w:eastAsia="华文仿宋" w:cs="华文仿宋"/>
                <w:b w:val="0"/>
                <w:bCs w:val="0"/>
                <w:sz w:val="24"/>
                <w:szCs w:val="24"/>
                <w:lang w:eastAsia="zh-CN"/>
              </w:rPr>
              <w:t>。</w:t>
            </w:r>
            <w:r>
              <w:rPr>
                <w:rFonts w:hint="eastAsia" w:ascii="华文仿宋" w:hAnsi="华文仿宋" w:eastAsia="华文仿宋" w:cs="华文仿宋"/>
                <w:b w:val="0"/>
                <w:bCs w:val="0"/>
                <w:sz w:val="24"/>
                <w:szCs w:val="24"/>
                <w:lang w:val="en-US" w:eastAsia="zh-CN"/>
              </w:rPr>
              <w:t>2019年以来我区先后共有7户企业接受了节能诊断服务，按照节能诊断报告提出的建议，各企业不同程度的进行了改造，2022年引导嘉明开发区接受园区绿色诊断服务。</w:t>
            </w:r>
          </w:p>
          <w:p>
            <w:pPr>
              <w:pStyle w:val="14"/>
              <w:widowControl w:val="0"/>
              <w:overflowPunct w:val="0"/>
              <w:spacing w:before="0" w:beforeLines="0" w:beforeAutospacing="0" w:after="0" w:afterLines="0" w:afterAutospacing="0" w:line="580" w:lineRule="exact"/>
              <w:ind w:firstLine="472" w:firstLineChars="200"/>
              <w:jc w:val="both"/>
              <w:rPr>
                <w:rStyle w:val="10"/>
                <w:rFonts w:hint="eastAsia" w:ascii="华文仿宋" w:hAnsi="华文仿宋" w:eastAsia="华文仿宋" w:cs="华文仿宋"/>
                <w:b w:val="0"/>
                <w:bCs w:val="0"/>
                <w:kern w:val="0"/>
                <w:sz w:val="24"/>
                <w:szCs w:val="24"/>
                <w:lang w:val="en-US" w:eastAsia="zh-CN" w:bidi="ar"/>
              </w:rPr>
            </w:pPr>
            <w:r>
              <w:rPr>
                <w:rStyle w:val="10"/>
                <w:rFonts w:hint="eastAsia" w:ascii="华文仿宋" w:hAnsi="华文仿宋" w:eastAsia="华文仿宋" w:cs="华文仿宋"/>
                <w:b w:val="0"/>
                <w:bCs w:val="0"/>
                <w:kern w:val="0"/>
                <w:sz w:val="24"/>
                <w:szCs w:val="24"/>
                <w:lang w:val="en-US" w:eastAsia="zh-CN" w:bidi="ar"/>
              </w:rPr>
              <w:t>三、强化水资源循环利用，提升用水效能。</w:t>
            </w:r>
          </w:p>
          <w:p>
            <w:pPr>
              <w:numPr>
                <w:ilvl w:val="0"/>
                <w:numId w:val="0"/>
              </w:numPr>
              <w:ind w:firstLine="472" w:firstLineChars="200"/>
              <w:jc w:val="both"/>
              <w:rPr>
                <w:rFonts w:hint="eastAsia" w:ascii="华文仿宋" w:hAnsi="华文仿宋" w:eastAsia="华文仿宋" w:cs="华文仿宋"/>
                <w:b w:val="0"/>
                <w:bCs w:val="0"/>
                <w:color w:val="auto"/>
                <w:sz w:val="24"/>
                <w:szCs w:val="24"/>
                <w:lang w:eastAsia="zh-CN"/>
              </w:rPr>
            </w:pPr>
            <w:r>
              <w:rPr>
                <w:rFonts w:hint="eastAsia" w:ascii="华文仿宋" w:hAnsi="华文仿宋" w:eastAsia="华文仿宋" w:cs="华文仿宋"/>
                <w:b w:val="0"/>
                <w:bCs w:val="0"/>
                <w:color w:val="auto"/>
                <w:sz w:val="24"/>
                <w:szCs w:val="24"/>
                <w:lang w:val="en-US" w:eastAsia="zh-CN"/>
              </w:rPr>
              <w:t>对各类废水进行总体规划，实现废水的分类收集、处理和回用，持续提高用水效率，实现经济效益与社会效益的双赢。今年申报成功市级节水示范企业1家（绿亚禽业）。</w:t>
            </w:r>
            <w:r>
              <w:rPr>
                <w:rFonts w:hint="eastAsia" w:ascii="华文仿宋" w:hAnsi="华文仿宋" w:eastAsia="华文仿宋" w:cs="华文仿宋"/>
                <w:b w:val="0"/>
                <w:bCs w:val="0"/>
                <w:sz w:val="24"/>
                <w:szCs w:val="24"/>
                <w:lang w:eastAsia="zh-CN"/>
              </w:rPr>
              <w:t>华能聊城热电厂建设了工业水回水再利用项目，每日可节约用水2000吨左右。</w:t>
            </w:r>
            <w:r>
              <w:rPr>
                <w:rFonts w:hint="eastAsia" w:ascii="华文仿宋" w:hAnsi="华文仿宋" w:eastAsia="华文仿宋" w:cs="华文仿宋"/>
                <w:b w:val="0"/>
                <w:bCs w:val="0"/>
                <w:sz w:val="24"/>
                <w:szCs w:val="24"/>
                <w:lang w:val="en-US" w:eastAsia="zh-CN"/>
              </w:rPr>
              <w:t>下一步还将</w:t>
            </w:r>
            <w:r>
              <w:rPr>
                <w:rFonts w:hint="eastAsia" w:ascii="华文仿宋" w:hAnsi="华文仿宋" w:eastAsia="华文仿宋" w:cs="华文仿宋"/>
                <w:b w:val="0"/>
                <w:bCs w:val="0"/>
                <w:color w:val="auto"/>
                <w:sz w:val="24"/>
                <w:szCs w:val="24"/>
                <w:lang w:val="en-US" w:eastAsia="zh-CN"/>
              </w:rPr>
              <w:t>积极推进</w:t>
            </w:r>
            <w:r>
              <w:rPr>
                <w:rFonts w:hint="eastAsia" w:ascii="华文仿宋" w:hAnsi="华文仿宋" w:eastAsia="华文仿宋" w:cs="华文仿宋"/>
                <w:b w:val="0"/>
                <w:bCs w:val="0"/>
                <w:color w:val="auto"/>
                <w:sz w:val="24"/>
                <w:szCs w:val="24"/>
                <w:lang w:val="zh-CN" w:eastAsia="zh-CN"/>
              </w:rPr>
              <w:t>国家能源聊城发电有限公司</w:t>
            </w:r>
            <w:r>
              <w:rPr>
                <w:rFonts w:hint="eastAsia" w:ascii="华文仿宋" w:hAnsi="华文仿宋" w:eastAsia="华文仿宋" w:cs="华文仿宋"/>
                <w:b w:val="0"/>
                <w:bCs w:val="0"/>
                <w:color w:val="auto"/>
                <w:sz w:val="24"/>
                <w:szCs w:val="24"/>
                <w:lang w:val="en-US" w:eastAsia="zh-CN"/>
              </w:rPr>
              <w:t>全厂水资源分级利用项目建设，预计项目建成后将进一步提高中水使用量至4000t/h，每年可节省地表水取用量900万吨，节约取水费用1080万元。</w:t>
            </w:r>
          </w:p>
          <w:p>
            <w:pPr>
              <w:keepNext w:val="0"/>
              <w:keepLines w:val="0"/>
              <w:widowControl/>
              <w:suppressLineNumbers w:val="0"/>
              <w:ind w:firstLine="472" w:firstLineChars="200"/>
              <w:jc w:val="both"/>
              <w:rPr>
                <w:rFonts w:hint="eastAsia" w:ascii="华文仿宋" w:hAnsi="华文仿宋" w:eastAsia="华文仿宋" w:cs="华文仿宋"/>
                <w:b w:val="0"/>
                <w:bCs w:val="0"/>
                <w:sz w:val="24"/>
                <w:szCs w:val="24"/>
              </w:rPr>
            </w:pPr>
            <w:r>
              <w:rPr>
                <w:rStyle w:val="10"/>
                <w:rFonts w:hint="eastAsia" w:ascii="华文仿宋" w:hAnsi="华文仿宋" w:eastAsia="华文仿宋" w:cs="华文仿宋"/>
                <w:b w:val="0"/>
                <w:bCs w:val="0"/>
                <w:kern w:val="0"/>
                <w:sz w:val="24"/>
                <w:szCs w:val="24"/>
                <w:lang w:val="en-US" w:eastAsia="zh-CN" w:bidi="ar"/>
              </w:rPr>
              <w:t>四、强化数字赋能和技改，打造资源综合利用新引擎。</w:t>
            </w:r>
            <w:r>
              <w:rPr>
                <w:rFonts w:hint="eastAsia" w:ascii="华文仿宋" w:hAnsi="华文仿宋" w:eastAsia="华文仿宋" w:cs="华文仿宋"/>
                <w:b w:val="0"/>
                <w:bCs w:val="0"/>
                <w:kern w:val="0"/>
                <w:sz w:val="24"/>
                <w:szCs w:val="24"/>
                <w:lang w:val="en-US" w:eastAsia="zh-CN" w:bidi="ar"/>
              </w:rPr>
              <w:br w:type="textWrapping"/>
            </w:r>
            <w:r>
              <w:rPr>
                <w:rFonts w:hint="eastAsia" w:ascii="华文仿宋" w:hAnsi="华文仿宋" w:eastAsia="华文仿宋" w:cs="华文仿宋"/>
                <w:b w:val="0"/>
                <w:bCs w:val="0"/>
                <w:kern w:val="0"/>
                <w:sz w:val="24"/>
                <w:szCs w:val="24"/>
                <w:lang w:val="en-US" w:eastAsia="zh-CN" w:bidi="ar"/>
              </w:rPr>
              <w:t>　　</w:t>
            </w:r>
            <w:r>
              <w:rPr>
                <w:rStyle w:val="10"/>
                <w:rFonts w:hint="eastAsia" w:ascii="华文仿宋" w:hAnsi="华文仿宋" w:eastAsia="华文仿宋" w:cs="华文仿宋"/>
                <w:b w:val="0"/>
                <w:bCs w:val="0"/>
                <w:kern w:val="0"/>
                <w:sz w:val="24"/>
                <w:szCs w:val="24"/>
                <w:lang w:val="en-US" w:eastAsia="zh-CN" w:bidi="ar"/>
              </w:rPr>
              <w:t>数字化赋能增强资源综合利用活力。</w:t>
            </w:r>
            <w:r>
              <w:rPr>
                <w:rFonts w:hint="eastAsia" w:ascii="华文仿宋" w:hAnsi="华文仿宋" w:eastAsia="华文仿宋" w:cs="华文仿宋"/>
                <w:b w:val="0"/>
                <w:bCs w:val="0"/>
                <w:sz w:val="24"/>
                <w:szCs w:val="24"/>
                <w:lang w:val="en-US" w:eastAsia="zh-CN"/>
              </w:rPr>
              <w:t>积极推动数字化赋能工业企业，降低废旧物资处置成本，扩大利用范围。今年我区</w:t>
            </w:r>
            <w:r>
              <w:rPr>
                <w:rFonts w:hint="eastAsia" w:ascii="华文仿宋" w:hAnsi="华文仿宋" w:eastAsia="华文仿宋" w:cs="华文仿宋"/>
                <w:b w:val="0"/>
                <w:bCs w:val="0"/>
                <w:sz w:val="24"/>
                <w:szCs w:val="24"/>
              </w:rPr>
              <w:t>新建5G基站</w:t>
            </w:r>
            <w:r>
              <w:rPr>
                <w:rFonts w:hint="eastAsia" w:ascii="华文仿宋" w:hAnsi="华文仿宋" w:eastAsia="华文仿宋" w:cs="华文仿宋"/>
                <w:b w:val="0"/>
                <w:bCs w:val="0"/>
                <w:sz w:val="24"/>
                <w:szCs w:val="24"/>
                <w:lang w:val="en-US" w:eastAsia="zh-CN"/>
              </w:rPr>
              <w:t>590</w:t>
            </w:r>
            <w:r>
              <w:rPr>
                <w:rFonts w:hint="eastAsia" w:ascii="华文仿宋" w:hAnsi="华文仿宋" w:eastAsia="华文仿宋" w:cs="华文仿宋"/>
                <w:b w:val="0"/>
                <w:bCs w:val="0"/>
                <w:sz w:val="24"/>
                <w:szCs w:val="24"/>
              </w:rPr>
              <w:t>个</w:t>
            </w:r>
            <w:r>
              <w:rPr>
                <w:rFonts w:hint="eastAsia" w:ascii="华文仿宋" w:hAnsi="华文仿宋" w:eastAsia="华文仿宋" w:cs="华文仿宋"/>
                <w:b w:val="0"/>
                <w:bCs w:val="0"/>
                <w:sz w:val="24"/>
                <w:szCs w:val="24"/>
                <w:lang w:eastAsia="zh-CN"/>
              </w:rPr>
              <w:t>，</w:t>
            </w:r>
            <w:r>
              <w:rPr>
                <w:rFonts w:hint="eastAsia" w:ascii="华文仿宋" w:hAnsi="华文仿宋" w:eastAsia="华文仿宋" w:cs="华文仿宋"/>
                <w:b w:val="0"/>
                <w:bCs w:val="0"/>
                <w:sz w:val="24"/>
                <w:szCs w:val="24"/>
              </w:rPr>
              <w:t>累计达到</w:t>
            </w:r>
            <w:r>
              <w:rPr>
                <w:rFonts w:hint="eastAsia" w:ascii="华文仿宋" w:hAnsi="华文仿宋" w:eastAsia="华文仿宋" w:cs="华文仿宋"/>
                <w:b w:val="0"/>
                <w:bCs w:val="0"/>
                <w:sz w:val="24"/>
                <w:szCs w:val="24"/>
                <w:lang w:val="en-US" w:eastAsia="zh-CN"/>
              </w:rPr>
              <w:t>1632</w:t>
            </w:r>
            <w:r>
              <w:rPr>
                <w:rFonts w:hint="eastAsia" w:ascii="华文仿宋" w:hAnsi="华文仿宋" w:eastAsia="华文仿宋" w:cs="华文仿宋"/>
                <w:b w:val="0"/>
                <w:bCs w:val="0"/>
                <w:sz w:val="24"/>
                <w:szCs w:val="24"/>
              </w:rPr>
              <w:t>个</w:t>
            </w:r>
            <w:r>
              <w:rPr>
                <w:rFonts w:hint="eastAsia" w:ascii="华文仿宋" w:hAnsi="华文仿宋" w:eastAsia="华文仿宋" w:cs="华文仿宋"/>
                <w:b w:val="0"/>
                <w:bCs w:val="0"/>
                <w:sz w:val="24"/>
                <w:szCs w:val="24"/>
                <w:lang w:eastAsia="zh-CN"/>
              </w:rPr>
              <w:t>，总数列全市第一</w:t>
            </w:r>
            <w:r>
              <w:rPr>
                <w:rFonts w:hint="eastAsia" w:ascii="华文仿宋" w:hAnsi="华文仿宋" w:eastAsia="华文仿宋" w:cs="华文仿宋"/>
                <w:b w:val="0"/>
                <w:bCs w:val="0"/>
                <w:i w:val="0"/>
                <w:iCs w:val="0"/>
                <w:caps w:val="0"/>
                <w:color w:val="000000"/>
                <w:spacing w:val="0"/>
                <w:sz w:val="24"/>
                <w:szCs w:val="24"/>
              </w:rPr>
              <w:t>，</w:t>
            </w:r>
            <w:r>
              <w:rPr>
                <w:rFonts w:hint="eastAsia" w:ascii="华文仿宋" w:hAnsi="华文仿宋" w:eastAsia="华文仿宋" w:cs="华文仿宋"/>
                <w:b w:val="0"/>
                <w:bCs w:val="0"/>
                <w:sz w:val="24"/>
                <w:szCs w:val="24"/>
                <w:lang w:eastAsia="zh-CN"/>
              </w:rPr>
              <w:t>实现了主城区和镇办园区重点区域5G网络覆盖。</w:t>
            </w:r>
            <w:r>
              <w:rPr>
                <w:rFonts w:hint="eastAsia" w:ascii="华文仿宋" w:hAnsi="华文仿宋" w:eastAsia="华文仿宋" w:cs="华文仿宋"/>
                <w:b w:val="0"/>
                <w:bCs w:val="0"/>
                <w:color w:val="auto"/>
                <w:sz w:val="24"/>
                <w:szCs w:val="24"/>
                <w:lang w:val="en-US" w:eastAsia="zh-CN"/>
              </w:rPr>
              <w:t>完成企业上云160家，设备上云870家。</w:t>
            </w:r>
            <w:r>
              <w:rPr>
                <w:rFonts w:hint="eastAsia" w:ascii="华文仿宋" w:hAnsi="华文仿宋" w:eastAsia="华文仿宋" w:cs="华文仿宋"/>
                <w:b w:val="0"/>
                <w:bCs w:val="0"/>
                <w:color w:val="auto"/>
                <w:spacing w:val="0"/>
                <w:w w:val="100"/>
                <w:kern w:val="2"/>
                <w:position w:val="0"/>
                <w:sz w:val="24"/>
                <w:szCs w:val="24"/>
                <w:lang w:val="zh-CN" w:eastAsia="zh-CN" w:bidi="ar-SA"/>
              </w:rPr>
              <w:t>华为</w:t>
            </w:r>
            <w:r>
              <w:rPr>
                <w:rFonts w:hint="eastAsia" w:ascii="华文仿宋" w:hAnsi="华文仿宋" w:eastAsia="华文仿宋" w:cs="华文仿宋"/>
                <w:b w:val="0"/>
                <w:bCs w:val="0"/>
                <w:sz w:val="24"/>
                <w:szCs w:val="24"/>
                <w:lang w:val="en-US" w:eastAsia="zh-CN"/>
              </w:rPr>
              <w:t>赋能企业发展</w:t>
            </w:r>
            <w:r>
              <w:rPr>
                <w:rFonts w:hint="eastAsia" w:ascii="华文仿宋" w:hAnsi="华文仿宋" w:eastAsia="华文仿宋" w:cs="华文仿宋"/>
                <w:b w:val="0"/>
                <w:bCs w:val="0"/>
                <w:color w:val="auto"/>
                <w:sz w:val="24"/>
                <w:szCs w:val="24"/>
                <w:lang w:val="en-US" w:eastAsia="zh-CN"/>
              </w:rPr>
              <w:t>完成80家企业数字化诊断，首批7个重点项目完成交付验收工作，新增创新中心合作项目10家。</w:t>
            </w:r>
            <w:r>
              <w:rPr>
                <w:rFonts w:hint="eastAsia" w:ascii="华文仿宋" w:hAnsi="华文仿宋" w:eastAsia="华文仿宋" w:cs="华文仿宋"/>
                <w:b w:val="0"/>
                <w:bCs w:val="0"/>
                <w:sz w:val="24"/>
                <w:szCs w:val="24"/>
              </w:rPr>
              <w:t>新</w:t>
            </w:r>
            <w:r>
              <w:rPr>
                <w:rFonts w:hint="eastAsia" w:ascii="华文仿宋" w:hAnsi="华文仿宋" w:eastAsia="华文仿宋" w:cs="华文仿宋"/>
                <w:b w:val="0"/>
                <w:bCs w:val="0"/>
                <w:sz w:val="24"/>
                <w:szCs w:val="24"/>
                <w:lang w:val="en-US" w:eastAsia="zh-CN"/>
              </w:rPr>
              <w:t>增</w:t>
            </w:r>
            <w:r>
              <w:rPr>
                <w:rFonts w:hint="eastAsia" w:ascii="华文仿宋" w:hAnsi="华文仿宋" w:eastAsia="华文仿宋" w:cs="华文仿宋"/>
                <w:b w:val="0"/>
                <w:bCs w:val="0"/>
                <w:kern w:val="2"/>
                <w:sz w:val="24"/>
                <w:szCs w:val="24"/>
                <w:lang w:val="en-US" w:eastAsia="zh-CN"/>
              </w:rPr>
              <w:t>省级首台套企业2家、</w:t>
            </w:r>
            <w:r>
              <w:rPr>
                <w:rFonts w:hint="eastAsia" w:ascii="华文仿宋" w:hAnsi="华文仿宋" w:eastAsia="华文仿宋" w:cs="华文仿宋"/>
                <w:b w:val="0"/>
                <w:bCs w:val="0"/>
                <w:sz w:val="24"/>
                <w:szCs w:val="24"/>
              </w:rPr>
              <w:t>数字化车间1家</w:t>
            </w:r>
            <w:r>
              <w:rPr>
                <w:rFonts w:hint="eastAsia" w:ascii="华文仿宋" w:hAnsi="华文仿宋" w:eastAsia="华文仿宋" w:cs="华文仿宋"/>
                <w:b w:val="0"/>
                <w:bCs w:val="0"/>
                <w:sz w:val="24"/>
                <w:szCs w:val="24"/>
                <w:lang w:eastAsia="zh-CN"/>
              </w:rPr>
              <w:t>，</w:t>
            </w:r>
            <w:r>
              <w:rPr>
                <w:rFonts w:hint="eastAsia" w:ascii="华文仿宋" w:hAnsi="华文仿宋" w:eastAsia="华文仿宋" w:cs="华文仿宋"/>
                <w:b w:val="0"/>
                <w:bCs w:val="0"/>
                <w:color w:val="auto"/>
                <w:sz w:val="24"/>
                <w:szCs w:val="24"/>
                <w:lang w:val="en-US" w:eastAsia="zh-CN"/>
              </w:rPr>
              <w:t>省级优秀数字产品企业3家、省级工业互联网平台2家、省级</w:t>
            </w:r>
            <w:r>
              <w:rPr>
                <w:rFonts w:hint="eastAsia" w:ascii="华文仿宋" w:hAnsi="华文仿宋" w:eastAsia="华文仿宋" w:cs="华文仿宋"/>
                <w:b w:val="0"/>
                <w:bCs w:val="0"/>
                <w:color w:val="auto"/>
                <w:sz w:val="24"/>
                <w:szCs w:val="24"/>
                <w:lang w:eastAsia="zh-CN"/>
              </w:rPr>
              <w:t>数字经济重点项目库</w:t>
            </w:r>
            <w:r>
              <w:rPr>
                <w:rFonts w:hint="eastAsia" w:ascii="华文仿宋" w:hAnsi="华文仿宋" w:eastAsia="华文仿宋" w:cs="华文仿宋"/>
                <w:b w:val="0"/>
                <w:bCs w:val="0"/>
                <w:color w:val="auto"/>
                <w:sz w:val="24"/>
                <w:szCs w:val="24"/>
                <w:lang w:val="en-US" w:eastAsia="zh-CN"/>
              </w:rPr>
              <w:t>1家、省级</w:t>
            </w:r>
            <w:r>
              <w:rPr>
                <w:rFonts w:hint="eastAsia" w:ascii="华文仿宋" w:hAnsi="华文仿宋" w:eastAsia="华文仿宋" w:cs="华文仿宋"/>
                <w:b w:val="0"/>
                <w:bCs w:val="0"/>
                <w:color w:val="auto"/>
                <w:sz w:val="24"/>
                <w:szCs w:val="24"/>
                <w:lang w:eastAsia="zh-CN"/>
              </w:rPr>
              <w:t>DCMM贯标试点</w:t>
            </w:r>
            <w:r>
              <w:rPr>
                <w:rFonts w:hint="eastAsia" w:ascii="华文仿宋" w:hAnsi="华文仿宋" w:eastAsia="华文仿宋" w:cs="华文仿宋"/>
                <w:b w:val="0"/>
                <w:bCs w:val="0"/>
                <w:color w:val="auto"/>
                <w:sz w:val="24"/>
                <w:szCs w:val="24"/>
                <w:lang w:val="en-US" w:eastAsia="zh-CN"/>
              </w:rPr>
              <w:t>1家，</w:t>
            </w:r>
            <w:r>
              <w:rPr>
                <w:rFonts w:hint="eastAsia" w:ascii="华文仿宋" w:hAnsi="华文仿宋" w:eastAsia="华文仿宋" w:cs="华文仿宋"/>
                <w:b w:val="0"/>
                <w:bCs w:val="0"/>
                <w:color w:val="auto"/>
                <w:sz w:val="24"/>
                <w:szCs w:val="24"/>
              </w:rPr>
              <w:t>市</w:t>
            </w:r>
            <w:r>
              <w:rPr>
                <w:rFonts w:hint="eastAsia" w:ascii="华文仿宋" w:hAnsi="华文仿宋" w:eastAsia="华文仿宋" w:cs="华文仿宋"/>
                <w:b w:val="0"/>
                <w:bCs w:val="0"/>
                <w:color w:val="auto"/>
                <w:sz w:val="24"/>
                <w:szCs w:val="24"/>
                <w:lang w:val="en-US" w:eastAsia="zh-CN"/>
              </w:rPr>
              <w:t>级</w:t>
            </w:r>
            <w:r>
              <w:rPr>
                <w:rFonts w:hint="eastAsia" w:ascii="华文仿宋" w:hAnsi="华文仿宋" w:eastAsia="华文仿宋" w:cs="华文仿宋"/>
                <w:b w:val="0"/>
                <w:bCs w:val="0"/>
                <w:color w:val="auto"/>
                <w:sz w:val="24"/>
                <w:szCs w:val="24"/>
              </w:rPr>
              <w:t>两化融合贯标试点企业</w:t>
            </w:r>
            <w:r>
              <w:rPr>
                <w:rFonts w:hint="eastAsia" w:ascii="华文仿宋" w:hAnsi="华文仿宋" w:eastAsia="华文仿宋" w:cs="华文仿宋"/>
                <w:b w:val="0"/>
                <w:bCs w:val="0"/>
                <w:color w:val="auto"/>
                <w:sz w:val="24"/>
                <w:szCs w:val="24"/>
                <w:lang w:val="en-US" w:eastAsia="zh-CN"/>
              </w:rPr>
              <w:t>2</w:t>
            </w:r>
            <w:r>
              <w:rPr>
                <w:rFonts w:hint="eastAsia" w:ascii="华文仿宋" w:hAnsi="华文仿宋" w:eastAsia="华文仿宋" w:cs="华文仿宋"/>
                <w:b w:val="0"/>
                <w:bCs w:val="0"/>
                <w:color w:val="auto"/>
                <w:sz w:val="24"/>
                <w:szCs w:val="24"/>
              </w:rPr>
              <w:t>家</w:t>
            </w:r>
            <w:r>
              <w:rPr>
                <w:rFonts w:hint="eastAsia" w:ascii="华文仿宋" w:hAnsi="华文仿宋" w:eastAsia="华文仿宋" w:cs="华文仿宋"/>
                <w:b w:val="0"/>
                <w:bCs w:val="0"/>
                <w:color w:val="auto"/>
                <w:sz w:val="24"/>
                <w:szCs w:val="24"/>
                <w:lang w:eastAsia="zh-CN"/>
              </w:rPr>
              <w:t>，</w:t>
            </w:r>
            <w:r>
              <w:rPr>
                <w:rFonts w:hint="eastAsia" w:ascii="华文仿宋" w:hAnsi="华文仿宋" w:eastAsia="华文仿宋" w:cs="华文仿宋"/>
                <w:b w:val="0"/>
                <w:bCs w:val="0"/>
                <w:sz w:val="24"/>
                <w:szCs w:val="24"/>
                <w:lang w:eastAsia="zh-CN"/>
              </w:rPr>
              <w:t>着力为</w:t>
            </w:r>
            <w:r>
              <w:rPr>
                <w:rFonts w:hint="eastAsia" w:ascii="华文仿宋" w:hAnsi="华文仿宋" w:eastAsia="华文仿宋" w:cs="华文仿宋"/>
                <w:b w:val="0"/>
                <w:bCs w:val="0"/>
                <w:sz w:val="24"/>
                <w:szCs w:val="24"/>
                <w:lang w:val="en-US" w:eastAsia="zh-CN"/>
              </w:rPr>
              <w:t>资源综合利用</w:t>
            </w:r>
            <w:r>
              <w:rPr>
                <w:rFonts w:hint="eastAsia" w:ascii="华文仿宋" w:hAnsi="华文仿宋" w:eastAsia="华文仿宋" w:cs="华文仿宋"/>
                <w:b w:val="0"/>
                <w:bCs w:val="0"/>
                <w:sz w:val="24"/>
                <w:szCs w:val="24"/>
                <w:lang w:eastAsia="zh-CN"/>
              </w:rPr>
              <w:t>注入新活力。</w:t>
            </w:r>
            <w:r>
              <w:rPr>
                <w:rFonts w:hint="eastAsia" w:ascii="华文仿宋" w:hAnsi="华文仿宋" w:eastAsia="华文仿宋" w:cs="华文仿宋"/>
                <w:b w:val="0"/>
                <w:bCs w:val="0"/>
                <w:sz w:val="24"/>
                <w:szCs w:val="24"/>
                <w:lang w:val="en-US" w:eastAsia="zh-CN"/>
              </w:rPr>
              <w:t>创新驱动关</w:t>
            </w:r>
            <w:r>
              <w:rPr>
                <w:rStyle w:val="10"/>
                <w:rFonts w:hint="eastAsia" w:ascii="华文仿宋" w:hAnsi="华文仿宋" w:eastAsia="华文仿宋" w:cs="华文仿宋"/>
                <w:b w:val="0"/>
                <w:bCs w:val="0"/>
                <w:kern w:val="0"/>
                <w:sz w:val="24"/>
                <w:szCs w:val="24"/>
                <w:lang w:val="en-US" w:eastAsia="zh-CN" w:bidi="ar"/>
              </w:rPr>
              <w:t>键技术研发示范推广。</w:t>
            </w:r>
            <w:r>
              <w:rPr>
                <w:rFonts w:hint="eastAsia" w:ascii="华文仿宋" w:hAnsi="华文仿宋" w:eastAsia="华文仿宋" w:cs="华文仿宋"/>
                <w:b w:val="0"/>
                <w:bCs w:val="0"/>
                <w:sz w:val="24"/>
                <w:szCs w:val="24"/>
                <w:lang w:val="en-US" w:eastAsia="zh-CN"/>
              </w:rPr>
              <w:t>通过技术改造和创新，逐步淘汰落后生产工艺及设备，进一步提高资源综合利用效率。</w:t>
            </w:r>
            <w:r>
              <w:rPr>
                <w:rStyle w:val="10"/>
                <w:rFonts w:hint="eastAsia" w:ascii="华文仿宋" w:hAnsi="华文仿宋" w:eastAsia="华文仿宋" w:cs="华文仿宋"/>
                <w:b w:val="0"/>
                <w:bCs w:val="0"/>
                <w:kern w:val="0"/>
                <w:sz w:val="24"/>
                <w:szCs w:val="24"/>
                <w:lang w:val="en-US" w:eastAsia="zh-CN" w:bidi="ar"/>
              </w:rPr>
              <w:t>今年我区</w:t>
            </w:r>
            <w:r>
              <w:rPr>
                <w:rFonts w:hint="eastAsia" w:ascii="华文仿宋" w:hAnsi="华文仿宋" w:eastAsia="华文仿宋" w:cs="华文仿宋"/>
                <w:b w:val="0"/>
                <w:bCs w:val="0"/>
                <w:sz w:val="24"/>
                <w:szCs w:val="24"/>
              </w:rPr>
              <w:t>5个项目列入省技改重点导向目录</w:t>
            </w:r>
            <w:r>
              <w:rPr>
                <w:rFonts w:hint="eastAsia" w:ascii="华文仿宋" w:hAnsi="华文仿宋" w:eastAsia="华文仿宋" w:cs="华文仿宋"/>
                <w:b w:val="0"/>
                <w:bCs w:val="0"/>
                <w:sz w:val="24"/>
                <w:szCs w:val="24"/>
                <w:lang w:eastAsia="zh-CN"/>
              </w:rPr>
              <w:t>，</w:t>
            </w:r>
            <w:r>
              <w:rPr>
                <w:rFonts w:hint="eastAsia" w:ascii="华文仿宋" w:hAnsi="华文仿宋" w:eastAsia="华文仿宋" w:cs="华文仿宋"/>
                <w:b w:val="0"/>
                <w:bCs w:val="0"/>
                <w:sz w:val="24"/>
                <w:szCs w:val="24"/>
                <w:lang w:val="en-US" w:eastAsia="zh-CN"/>
              </w:rPr>
              <w:t>3</w:t>
            </w:r>
            <w:r>
              <w:rPr>
                <w:rFonts w:hint="eastAsia" w:ascii="华文仿宋" w:hAnsi="华文仿宋" w:eastAsia="华文仿宋" w:cs="华文仿宋"/>
                <w:b w:val="0"/>
                <w:bCs w:val="0"/>
                <w:sz w:val="24"/>
                <w:szCs w:val="24"/>
                <w:lang w:eastAsia="zh-CN"/>
              </w:rPr>
              <w:t>个获得省级“技改专项贷”</w:t>
            </w:r>
            <w:r>
              <w:rPr>
                <w:rFonts w:hint="eastAsia" w:ascii="华文仿宋" w:hAnsi="华文仿宋" w:eastAsia="华文仿宋" w:cs="华文仿宋"/>
                <w:b w:val="0"/>
                <w:bCs w:val="0"/>
                <w:sz w:val="24"/>
                <w:szCs w:val="24"/>
              </w:rPr>
              <w:t>。</w:t>
            </w:r>
            <w:r>
              <w:rPr>
                <w:rFonts w:hint="eastAsia" w:ascii="华文仿宋" w:hAnsi="华文仿宋" w:eastAsia="华文仿宋" w:cs="华文仿宋"/>
                <w:b w:val="0"/>
                <w:bCs w:val="0"/>
                <w:sz w:val="24"/>
                <w:szCs w:val="24"/>
                <w:lang w:val="en-US" w:eastAsia="zh-CN"/>
              </w:rPr>
              <w:t>新增</w:t>
            </w:r>
            <w:r>
              <w:rPr>
                <w:rFonts w:hint="eastAsia" w:ascii="华文仿宋" w:hAnsi="华文仿宋" w:eastAsia="华文仿宋" w:cs="华文仿宋"/>
                <w:b w:val="0"/>
                <w:bCs w:val="0"/>
                <w:sz w:val="24"/>
                <w:szCs w:val="24"/>
              </w:rPr>
              <w:t>省级“专精特新”企业1</w:t>
            </w:r>
            <w:r>
              <w:rPr>
                <w:rFonts w:hint="eastAsia" w:ascii="华文仿宋" w:hAnsi="华文仿宋" w:eastAsia="华文仿宋" w:cs="华文仿宋"/>
                <w:b w:val="0"/>
                <w:bCs w:val="0"/>
                <w:sz w:val="24"/>
                <w:szCs w:val="24"/>
                <w:lang w:val="en-US" w:eastAsia="zh-CN"/>
              </w:rPr>
              <w:t>3</w:t>
            </w:r>
            <w:r>
              <w:rPr>
                <w:rFonts w:hint="eastAsia" w:ascii="华文仿宋" w:hAnsi="华文仿宋" w:eastAsia="华文仿宋" w:cs="华文仿宋"/>
                <w:b w:val="0"/>
                <w:bCs w:val="0"/>
                <w:sz w:val="24"/>
                <w:szCs w:val="24"/>
              </w:rPr>
              <w:t>家</w:t>
            </w:r>
            <w:r>
              <w:rPr>
                <w:rFonts w:hint="eastAsia" w:ascii="华文仿宋" w:hAnsi="华文仿宋" w:eastAsia="华文仿宋" w:cs="华文仿宋"/>
                <w:b w:val="0"/>
                <w:bCs w:val="0"/>
                <w:sz w:val="24"/>
                <w:szCs w:val="24"/>
                <w:lang w:eastAsia="zh-CN"/>
              </w:rPr>
              <w:t>（</w:t>
            </w:r>
            <w:r>
              <w:rPr>
                <w:rFonts w:hint="eastAsia" w:ascii="华文仿宋" w:hAnsi="华文仿宋" w:eastAsia="华文仿宋" w:cs="华文仿宋"/>
                <w:b w:val="0"/>
                <w:bCs w:val="0"/>
                <w:sz w:val="24"/>
                <w:szCs w:val="24"/>
              </w:rPr>
              <w:t>为历年新高</w:t>
            </w:r>
            <w:r>
              <w:rPr>
                <w:rFonts w:hint="eastAsia" w:ascii="华文仿宋" w:hAnsi="华文仿宋" w:eastAsia="华文仿宋" w:cs="华文仿宋"/>
                <w:b w:val="0"/>
                <w:bCs w:val="0"/>
                <w:sz w:val="24"/>
                <w:szCs w:val="24"/>
                <w:lang w:eastAsia="zh-CN"/>
              </w:rPr>
              <w:t>）、</w:t>
            </w:r>
            <w:r>
              <w:rPr>
                <w:rFonts w:hint="eastAsia" w:ascii="华文仿宋" w:hAnsi="华文仿宋" w:eastAsia="华文仿宋" w:cs="华文仿宋"/>
                <w:b w:val="0"/>
                <w:bCs w:val="0"/>
                <w:sz w:val="24"/>
                <w:szCs w:val="24"/>
                <w:lang w:val="en-US" w:eastAsia="zh-CN"/>
              </w:rPr>
              <w:t>单项冠军2</w:t>
            </w:r>
            <w:r>
              <w:rPr>
                <w:rFonts w:hint="eastAsia" w:ascii="华文仿宋" w:hAnsi="华文仿宋" w:eastAsia="华文仿宋" w:cs="华文仿宋"/>
                <w:b w:val="0"/>
                <w:bCs w:val="0"/>
                <w:sz w:val="24"/>
                <w:szCs w:val="24"/>
              </w:rPr>
              <w:t>家</w:t>
            </w:r>
            <w:r>
              <w:rPr>
                <w:rFonts w:hint="eastAsia" w:ascii="华文仿宋" w:hAnsi="华文仿宋" w:eastAsia="华文仿宋" w:cs="华文仿宋"/>
                <w:b w:val="0"/>
                <w:bCs w:val="0"/>
                <w:sz w:val="24"/>
                <w:szCs w:val="24"/>
                <w:lang w:eastAsia="zh-CN"/>
              </w:rPr>
              <w:t>、</w:t>
            </w:r>
            <w:r>
              <w:rPr>
                <w:rFonts w:hint="eastAsia" w:ascii="华文仿宋" w:hAnsi="华文仿宋" w:eastAsia="华文仿宋" w:cs="华文仿宋"/>
                <w:b w:val="0"/>
                <w:bCs w:val="0"/>
                <w:snapToGrid/>
                <w:color w:val="auto"/>
                <w:kern w:val="2"/>
                <w:sz w:val="24"/>
                <w:szCs w:val="24"/>
                <w:lang w:val="en-US" w:eastAsia="zh-CN"/>
              </w:rPr>
              <w:t>技术创新项目7家、</w:t>
            </w:r>
            <w:r>
              <w:rPr>
                <w:rFonts w:hint="eastAsia" w:ascii="华文仿宋" w:hAnsi="华文仿宋" w:eastAsia="华文仿宋" w:cs="华文仿宋"/>
                <w:b w:val="0"/>
                <w:bCs w:val="0"/>
                <w:sz w:val="24"/>
                <w:szCs w:val="24"/>
              </w:rPr>
              <w:t>创新示范</w:t>
            </w:r>
            <w:r>
              <w:rPr>
                <w:rFonts w:hint="eastAsia" w:ascii="华文仿宋" w:hAnsi="华文仿宋" w:eastAsia="华文仿宋" w:cs="华文仿宋"/>
                <w:b w:val="0"/>
                <w:bCs w:val="0"/>
                <w:sz w:val="24"/>
                <w:szCs w:val="24"/>
                <w:lang w:val="en-US" w:eastAsia="zh-CN"/>
              </w:rPr>
              <w:t>1</w:t>
            </w:r>
            <w:r>
              <w:rPr>
                <w:rFonts w:hint="eastAsia" w:ascii="华文仿宋" w:hAnsi="华文仿宋" w:eastAsia="华文仿宋" w:cs="华文仿宋"/>
                <w:b w:val="0"/>
                <w:bCs w:val="0"/>
                <w:sz w:val="24"/>
                <w:szCs w:val="24"/>
              </w:rPr>
              <w:t>家</w:t>
            </w:r>
            <w:r>
              <w:rPr>
                <w:rFonts w:hint="eastAsia" w:ascii="华文仿宋" w:hAnsi="华文仿宋" w:eastAsia="华文仿宋" w:cs="华文仿宋"/>
                <w:b w:val="0"/>
                <w:bCs w:val="0"/>
                <w:sz w:val="24"/>
                <w:szCs w:val="24"/>
                <w:lang w:eastAsia="zh-CN"/>
              </w:rPr>
              <w:t>；</w:t>
            </w:r>
            <w:r>
              <w:rPr>
                <w:rFonts w:hint="eastAsia" w:ascii="华文仿宋" w:hAnsi="华文仿宋" w:eastAsia="华文仿宋" w:cs="华文仿宋"/>
                <w:b w:val="0"/>
                <w:bCs w:val="0"/>
                <w:kern w:val="2"/>
                <w:sz w:val="24"/>
                <w:szCs w:val="24"/>
                <w:lang w:val="en-US" w:eastAsia="zh-CN"/>
              </w:rPr>
              <w:t>省级</w:t>
            </w:r>
            <w:r>
              <w:rPr>
                <w:rFonts w:hint="eastAsia" w:ascii="华文仿宋" w:hAnsi="华文仿宋" w:eastAsia="华文仿宋" w:cs="华文仿宋"/>
                <w:b w:val="0"/>
                <w:bCs w:val="0"/>
                <w:color w:val="auto"/>
                <w:kern w:val="2"/>
                <w:sz w:val="24"/>
                <w:szCs w:val="24"/>
                <w:lang w:val="en-US" w:eastAsia="zh-CN"/>
              </w:rPr>
              <w:t>工业设计中心1家、市级2家。</w:t>
            </w:r>
            <w:r>
              <w:rPr>
                <w:rFonts w:hint="eastAsia" w:ascii="华文仿宋" w:hAnsi="华文仿宋" w:eastAsia="华文仿宋" w:cs="华文仿宋"/>
                <w:b w:val="0"/>
                <w:bCs w:val="0"/>
                <w:color w:val="000000"/>
                <w:kern w:val="0"/>
                <w:sz w:val="24"/>
                <w:szCs w:val="24"/>
              </w:rPr>
              <w:t>山东力得制动科技有限公司利用100%全废钢增碳的方式，实现了废钢加工关键核心技术的突破，成功将边角废料“资源化”，铸造后生成的高性能灰铸铁和高韧性球墨铸铁用来生产制动鼓、轮毂、鼓式制动器制动底板</w:t>
            </w:r>
            <w:r>
              <w:rPr>
                <w:rFonts w:hint="eastAsia" w:ascii="华文仿宋" w:hAnsi="华文仿宋" w:eastAsia="华文仿宋" w:cs="华文仿宋"/>
                <w:b w:val="0"/>
                <w:bCs w:val="0"/>
                <w:color w:val="000000"/>
                <w:kern w:val="0"/>
                <w:sz w:val="24"/>
                <w:szCs w:val="24"/>
                <w:lang w:eastAsia="zh-CN"/>
              </w:rPr>
              <w:t>、重车后桥</w:t>
            </w:r>
            <w:r>
              <w:rPr>
                <w:rFonts w:hint="eastAsia" w:ascii="华文仿宋" w:hAnsi="华文仿宋" w:eastAsia="华文仿宋" w:cs="华文仿宋"/>
                <w:b w:val="0"/>
                <w:bCs w:val="0"/>
                <w:color w:val="000000"/>
                <w:kern w:val="0"/>
                <w:sz w:val="24"/>
                <w:szCs w:val="24"/>
              </w:rPr>
              <w:t>，产品比用生铁原料时抗拉强度提升30%，获得了国内外市场的高度认可</w:t>
            </w:r>
            <w:r>
              <w:rPr>
                <w:rFonts w:hint="eastAsia" w:ascii="华文仿宋" w:hAnsi="华文仿宋" w:eastAsia="华文仿宋" w:cs="华文仿宋"/>
                <w:b w:val="0"/>
                <w:bCs w:val="0"/>
                <w:color w:val="000000"/>
                <w:kern w:val="0"/>
                <w:sz w:val="24"/>
                <w:szCs w:val="24"/>
                <w:lang w:eastAsia="zh-CN"/>
              </w:rPr>
              <w:t>。</w:t>
            </w:r>
          </w:p>
          <w:p>
            <w:pPr>
              <w:keepNext w:val="0"/>
              <w:keepLines w:val="0"/>
              <w:widowControl/>
              <w:suppressLineNumbers w:val="0"/>
              <w:jc w:val="left"/>
              <w:rPr>
                <w:rFonts w:hint="eastAsia" w:ascii="仿宋" w:hAnsi="仿宋" w:eastAsia="仿宋" w:cs="仿宋"/>
                <w:b w:val="0"/>
                <w:bCs w:val="0"/>
                <w:sz w:val="32"/>
                <w:szCs w:val="32"/>
              </w:rPr>
            </w:pPr>
            <w:r>
              <w:rPr>
                <w:rFonts w:hint="eastAsia" w:ascii="仿宋" w:hAnsi="仿宋" w:eastAsia="仿宋" w:cs="仿宋"/>
                <w:b w:val="0"/>
                <w:bCs w:val="0"/>
                <w:kern w:val="0"/>
                <w:sz w:val="32"/>
                <w:szCs w:val="32"/>
                <w:lang w:val="en-US" w:eastAsia="zh-CN" w:bidi="ar"/>
              </w:rPr>
              <w:t xml:space="preserve"> </w:t>
            </w: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县级人力资源社会保障部门、工业和信息化部门推荐意见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市级人力资源社会保障部门、工业和信息化部门推荐意见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_GB2312" w:hAnsi="宋体" w:eastAsia="仿宋_GB2312"/>
                <w:sz w:val="24"/>
              </w:rPr>
            </w:pPr>
          </w:p>
          <w:p>
            <w:pPr>
              <w:spacing w:line="440" w:lineRule="exact"/>
              <w:jc w:val="center"/>
              <w:rPr>
                <w:rFonts w:ascii="仿宋_GB2312" w:eastAsia="仿宋_GB2312"/>
                <w:sz w:val="28"/>
                <w:szCs w:val="28"/>
              </w:rPr>
            </w:pPr>
            <w:r>
              <w:rPr>
                <w:rFonts w:hint="eastAsia" w:ascii="仿宋_GB2312" w:eastAsia="仿宋_GB2312"/>
                <w:sz w:val="28"/>
                <w:szCs w:val="28"/>
              </w:rPr>
              <w:t xml:space="preserve">                                    （盖  章）</w:t>
            </w:r>
          </w:p>
          <w:p>
            <w:pPr>
              <w:spacing w:line="440" w:lineRule="exact"/>
              <w:jc w:val="right"/>
              <w:rPr>
                <w:rFonts w:ascii="仿宋_GB2312" w:hAnsi="宋体" w:eastAsia="仿宋_GB2312"/>
                <w:sz w:val="24"/>
              </w:rPr>
            </w:pPr>
            <w:r>
              <w:rPr>
                <w:rFonts w:hint="eastAsia" w:ascii="仿宋_GB2312"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省人力资源社会保障厅、省工业和信息化厅审核意见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eastAsia="仿宋_GB2312"/>
                <w:sz w:val="28"/>
                <w:szCs w:val="28"/>
              </w:rPr>
            </w:pPr>
            <w:r>
              <w:rPr>
                <w:rFonts w:hint="eastAsia" w:ascii="仿宋_GB2312" w:eastAsia="仿宋_GB2312"/>
                <w:sz w:val="28"/>
                <w:szCs w:val="28"/>
              </w:rPr>
              <w:t xml:space="preserve">                                   </w:t>
            </w:r>
          </w:p>
          <w:p>
            <w:pPr>
              <w:spacing w:line="440" w:lineRule="exact"/>
              <w:jc w:val="center"/>
              <w:rPr>
                <w:rFonts w:ascii="仿宋_GB2312" w:eastAsia="仿宋_GB2312"/>
                <w:sz w:val="28"/>
                <w:szCs w:val="28"/>
              </w:rPr>
            </w:pPr>
            <w:r>
              <w:rPr>
                <w:rFonts w:hint="eastAsia" w:ascii="仿宋_GB2312" w:eastAsia="仿宋_GB2312"/>
                <w:sz w:val="28"/>
                <w:szCs w:val="28"/>
              </w:rPr>
              <w:t xml:space="preserve">                                     （盖  章）</w:t>
            </w:r>
          </w:p>
          <w:p>
            <w:pPr>
              <w:spacing w:line="440" w:lineRule="exact"/>
              <w:jc w:val="right"/>
              <w:rPr>
                <w:rFonts w:ascii="仿宋_GB2312" w:hAnsi="宋体" w:eastAsia="仿宋_GB2312"/>
                <w:sz w:val="24"/>
              </w:rPr>
            </w:pPr>
            <w:r>
              <w:rPr>
                <w:rFonts w:hint="eastAsia" w:ascii="仿宋_GB2312"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15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24"/>
              </w:rPr>
            </w:pPr>
            <w:r>
              <w:rPr>
                <w:rFonts w:hint="eastAsia" w:ascii="仿宋_GB2312" w:hAnsi="宋体" w:eastAsia="仿宋_GB2312"/>
                <w:sz w:val="24"/>
              </w:rPr>
              <w:t>省政府审批意见</w:t>
            </w:r>
          </w:p>
        </w:tc>
        <w:tc>
          <w:tcPr>
            <w:tcW w:w="72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eastAsia="仿宋_GB2312"/>
                <w:sz w:val="28"/>
                <w:szCs w:val="28"/>
              </w:rPr>
            </w:pPr>
            <w:r>
              <w:rPr>
                <w:rFonts w:hint="eastAsia" w:ascii="仿宋_GB2312" w:eastAsia="仿宋_GB2312"/>
                <w:sz w:val="28"/>
                <w:szCs w:val="28"/>
              </w:rPr>
              <w:t xml:space="preserve">                                     （盖  章）</w:t>
            </w:r>
          </w:p>
          <w:p>
            <w:pPr>
              <w:spacing w:line="440" w:lineRule="exact"/>
              <w:jc w:val="right"/>
              <w:rPr>
                <w:rFonts w:ascii="仿宋_GB2312" w:hAnsi="宋体" w:eastAsia="仿宋_GB2312"/>
                <w:sz w:val="24"/>
              </w:rPr>
            </w:pPr>
            <w:r>
              <w:rPr>
                <w:rFonts w:hint="eastAsia" w:ascii="仿宋_GB2312" w:eastAsia="仿宋_GB2312"/>
                <w:sz w:val="28"/>
                <w:szCs w:val="28"/>
              </w:rPr>
              <w:t xml:space="preserve">                        年   月   日</w:t>
            </w:r>
          </w:p>
        </w:tc>
      </w:tr>
    </w:tbl>
    <w:p>
      <w:pPr>
        <w:jc w:val="left"/>
        <w:rPr>
          <w:rFonts w:ascii="黑体" w:eastAsia="黑体"/>
        </w:rPr>
      </w:pPr>
    </w:p>
    <w:p>
      <w:pPr>
        <w:spacing w:line="580" w:lineRule="exact"/>
        <w:jc w:val="center"/>
        <w:rPr>
          <w:rFonts w:ascii="方正小标宋简体" w:hAnsi="华文中宋" w:eastAsia="方正小标宋简体" w:cs="方正小标宋简体"/>
          <w:sz w:val="44"/>
          <w:szCs w:val="44"/>
        </w:rPr>
      </w:pPr>
      <w:r>
        <w:rPr>
          <w:rFonts w:hint="eastAsia" w:ascii="方正小标宋简体" w:hAnsi="华文中宋" w:eastAsia="方正小标宋简体" w:cs="方正小标宋简体"/>
          <w:sz w:val="44"/>
          <w:szCs w:val="44"/>
        </w:rPr>
        <w:t>机关事业单位征求意见表</w:t>
      </w:r>
    </w:p>
    <w:p>
      <w:pPr>
        <w:widowControl/>
        <w:spacing w:line="240" w:lineRule="exact"/>
        <w:rPr>
          <w:rFonts w:ascii="仿宋_GB2312" w:eastAsia="仿宋_GB2312" w:cs="仿宋_GB2312"/>
        </w:rPr>
      </w:pPr>
    </w:p>
    <w:p>
      <w:pPr>
        <w:widowControl/>
        <w:spacing w:line="640" w:lineRule="exact"/>
        <w:ind w:firstLine="276" w:firstLineChars="100"/>
        <w:rPr>
          <w:rFonts w:ascii="仿宋_GB2312" w:eastAsia="仿宋_GB2312" w:cs="仿宋_GB2312"/>
          <w:sz w:val="28"/>
          <w:szCs w:val="28"/>
          <w:u w:val="single"/>
        </w:rPr>
      </w:pPr>
      <w:r>
        <w:rPr>
          <w:rFonts w:hint="eastAsia" w:ascii="仿宋_GB2312" w:eastAsia="仿宋_GB2312" w:cs="仿宋_GB2312"/>
          <w:sz w:val="28"/>
          <w:szCs w:val="28"/>
        </w:rPr>
        <w:t>单位名称：</w:t>
      </w:r>
      <w:r>
        <w:rPr>
          <w:rFonts w:hint="eastAsia" w:ascii="仿宋_GB2312" w:eastAsia="仿宋_GB2312" w:cs="仿宋_GB2312"/>
          <w:sz w:val="28"/>
          <w:szCs w:val="28"/>
          <w:u w:val="single"/>
        </w:rPr>
        <w:t xml:space="preserve">  </w:t>
      </w:r>
      <w:r>
        <w:rPr>
          <w:rFonts w:hint="eastAsia" w:ascii="仿宋_GB2312" w:eastAsia="仿宋_GB2312" w:cs="仿宋_GB2312"/>
          <w:sz w:val="28"/>
          <w:szCs w:val="28"/>
          <w:u w:val="single"/>
          <w:lang w:val="en-US" w:eastAsia="zh-CN"/>
        </w:rPr>
        <w:t xml:space="preserve">     </w:t>
      </w:r>
      <w:r>
        <w:rPr>
          <w:rFonts w:hint="eastAsia" w:ascii="仿宋_GB2312" w:eastAsia="仿宋_GB2312" w:cs="仿宋_GB2312"/>
          <w:sz w:val="28"/>
          <w:szCs w:val="28"/>
          <w:u w:val="single"/>
          <w:lang w:eastAsia="zh-CN"/>
        </w:rPr>
        <w:t>聊城市东昌府区工业和信息化局</w:t>
      </w:r>
      <w:r>
        <w:rPr>
          <w:rFonts w:hint="eastAsia" w:ascii="仿宋_GB2312" w:eastAsia="仿宋_GB2312" w:cs="仿宋_GB2312"/>
          <w:sz w:val="28"/>
          <w:szCs w:val="28"/>
          <w:u w:val="single"/>
        </w:rPr>
        <w:t xml:space="preserve">            </w:t>
      </w:r>
    </w:p>
    <w:tbl>
      <w:tblPr>
        <w:tblStyle w:val="8"/>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7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2" w:hRule="atLeast"/>
          <w:jc w:val="center"/>
        </w:trPr>
        <w:tc>
          <w:tcPr>
            <w:tcW w:w="1697" w:type="dxa"/>
            <w:tcBorders>
              <w:top w:val="single" w:color="auto" w:sz="4" w:space="0"/>
              <w:left w:val="single" w:color="auto" w:sz="4" w:space="0"/>
              <w:bottom w:val="single" w:color="auto" w:sz="4" w:space="0"/>
              <w:right w:val="single" w:color="auto" w:sz="4" w:space="0"/>
            </w:tcBorders>
            <w:vAlign w:val="center"/>
          </w:tcPr>
          <w:p>
            <w:pPr>
              <w:widowControl/>
              <w:spacing w:line="640" w:lineRule="exact"/>
              <w:jc w:val="center"/>
              <w:rPr>
                <w:rFonts w:ascii="仿宋_GB2312" w:eastAsia="仿宋_GB2312" w:cs="仿宋_GB2312"/>
                <w:sz w:val="28"/>
                <w:szCs w:val="28"/>
              </w:rPr>
            </w:pPr>
            <w:r>
              <w:rPr>
                <w:rFonts w:hint="eastAsia" w:ascii="仿宋_GB2312" w:eastAsia="仿宋_GB2312" w:cs="仿宋_GB2312"/>
                <w:sz w:val="28"/>
                <w:szCs w:val="28"/>
              </w:rPr>
              <w:t>纪检</w:t>
            </w:r>
          </w:p>
          <w:p>
            <w:pPr>
              <w:widowControl/>
              <w:spacing w:line="640" w:lineRule="exact"/>
              <w:jc w:val="center"/>
              <w:rPr>
                <w:rFonts w:ascii="仿宋_GB2312" w:eastAsia="仿宋_GB2312" w:cs="仿宋_GB2312"/>
                <w:sz w:val="28"/>
                <w:szCs w:val="28"/>
              </w:rPr>
            </w:pPr>
            <w:r>
              <w:rPr>
                <w:rFonts w:hint="eastAsia" w:ascii="仿宋_GB2312" w:eastAsia="仿宋_GB2312" w:cs="仿宋_GB2312"/>
                <w:sz w:val="28"/>
                <w:szCs w:val="28"/>
              </w:rPr>
              <w:t>监察</w:t>
            </w:r>
          </w:p>
          <w:p>
            <w:pPr>
              <w:widowControl/>
              <w:spacing w:line="640" w:lineRule="exact"/>
              <w:jc w:val="center"/>
              <w:rPr>
                <w:rFonts w:ascii="仿宋_GB2312" w:eastAsia="仿宋_GB2312" w:cs="仿宋_GB2312"/>
                <w:sz w:val="28"/>
                <w:szCs w:val="28"/>
              </w:rPr>
            </w:pPr>
            <w:r>
              <w:rPr>
                <w:rFonts w:hint="eastAsia" w:ascii="仿宋_GB2312" w:eastAsia="仿宋_GB2312" w:cs="仿宋_GB2312"/>
                <w:sz w:val="28"/>
                <w:szCs w:val="28"/>
              </w:rPr>
              <w:t>部门</w:t>
            </w:r>
          </w:p>
          <w:p>
            <w:pPr>
              <w:widowControl/>
              <w:spacing w:line="640" w:lineRule="exact"/>
              <w:jc w:val="center"/>
              <w:rPr>
                <w:rFonts w:ascii="仿宋_GB2312" w:eastAsia="仿宋_GB2312" w:cs="仿宋_GB2312"/>
                <w:sz w:val="28"/>
                <w:szCs w:val="28"/>
              </w:rPr>
            </w:pPr>
            <w:r>
              <w:rPr>
                <w:rFonts w:hint="eastAsia" w:ascii="仿宋_GB2312" w:eastAsia="仿宋_GB2312" w:cs="仿宋_GB2312"/>
                <w:sz w:val="28"/>
                <w:szCs w:val="28"/>
              </w:rPr>
              <w:t>意见</w:t>
            </w:r>
          </w:p>
        </w:tc>
        <w:tc>
          <w:tcPr>
            <w:tcW w:w="7318" w:type="dxa"/>
            <w:tcBorders>
              <w:top w:val="single" w:color="auto" w:sz="4" w:space="0"/>
              <w:left w:val="single" w:color="auto" w:sz="4" w:space="0"/>
              <w:bottom w:val="single" w:color="auto" w:sz="4" w:space="0"/>
              <w:right w:val="single" w:color="auto" w:sz="4" w:space="0"/>
            </w:tcBorders>
          </w:tcPr>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p>
          <w:p>
            <w:pPr>
              <w:widowControl/>
              <w:spacing w:line="1000" w:lineRule="exact"/>
              <w:ind w:firstLine="3450" w:firstLineChars="1250"/>
              <w:rPr>
                <w:rFonts w:ascii="仿宋_GB2312" w:eastAsia="仿宋_GB2312" w:cs="仿宋_GB2312"/>
                <w:sz w:val="28"/>
                <w:szCs w:val="28"/>
              </w:rPr>
            </w:pPr>
          </w:p>
          <w:p>
            <w:pPr>
              <w:widowControl/>
              <w:spacing w:line="640" w:lineRule="exact"/>
              <w:ind w:firstLine="3450" w:firstLineChars="1250"/>
              <w:rPr>
                <w:rFonts w:ascii="仿宋_GB2312" w:eastAsia="仿宋_GB2312" w:cs="仿宋_GB2312"/>
                <w:sz w:val="28"/>
                <w:szCs w:val="28"/>
              </w:rPr>
            </w:pPr>
            <w:r>
              <w:rPr>
                <w:rFonts w:hint="eastAsia" w:ascii="仿宋_GB2312" w:eastAsia="仿宋_GB2312" w:cs="仿宋_GB2312"/>
                <w:sz w:val="28"/>
                <w:szCs w:val="28"/>
              </w:rPr>
              <w:t>（盖　章）</w:t>
            </w:r>
          </w:p>
          <w:p>
            <w:pPr>
              <w:widowControl/>
              <w:spacing w:line="640" w:lineRule="exact"/>
              <w:ind w:firstLine="3312" w:firstLineChars="1200"/>
              <w:rPr>
                <w:rFonts w:ascii="仿宋_GB2312" w:eastAsia="仿宋_GB2312" w:cs="仿宋_GB2312"/>
                <w:sz w:val="28"/>
                <w:szCs w:val="28"/>
              </w:rPr>
            </w:pPr>
            <w:r>
              <w:rPr>
                <w:rFonts w:hint="eastAsia" w:ascii="仿宋_GB2312" w:eastAsia="仿宋_GB2312" w:cs="仿宋_GB2312"/>
                <w:sz w:val="28"/>
                <w:szCs w:val="28"/>
                <w:lang w:val="en-US" w:eastAsia="zh-CN"/>
              </w:rPr>
              <w:t>2022</w:t>
            </w:r>
            <w:r>
              <w:rPr>
                <w:rFonts w:hint="eastAsia" w:ascii="仿宋_GB2312" w:eastAsia="仿宋_GB2312" w:cs="仿宋_GB2312"/>
                <w:sz w:val="28"/>
                <w:szCs w:val="28"/>
              </w:rPr>
              <w:t>年</w:t>
            </w:r>
            <w:r>
              <w:rPr>
                <w:rFonts w:hint="eastAsia" w:ascii="仿宋_GB2312" w:eastAsia="仿宋_GB2312" w:cs="仿宋_GB2312"/>
                <w:sz w:val="28"/>
                <w:szCs w:val="28"/>
                <w:lang w:val="en-US" w:eastAsia="zh-CN"/>
              </w:rPr>
              <w:t>11</w:t>
            </w:r>
            <w:r>
              <w:rPr>
                <w:rFonts w:hint="eastAsia" w:ascii="仿宋_GB2312" w:eastAsia="仿宋_GB2312" w:cs="仿宋_GB2312"/>
                <w:sz w:val="28"/>
                <w:szCs w:val="28"/>
              </w:rPr>
              <w:t>月</w:t>
            </w:r>
            <w:r>
              <w:rPr>
                <w:rFonts w:hint="eastAsia" w:ascii="仿宋_GB2312" w:eastAsia="仿宋_GB2312" w:cs="仿宋_GB2312"/>
                <w:sz w:val="28"/>
                <w:szCs w:val="28"/>
                <w:lang w:val="en-US" w:eastAsia="zh-CN"/>
              </w:rPr>
              <w:t>2</w:t>
            </w:r>
            <w:r>
              <w:rPr>
                <w:rFonts w:hint="eastAsia" w:ascii="仿宋_GB2312" w:eastAsia="仿宋_GB2312" w:cs="仿宋_GB2312"/>
                <w:sz w:val="28"/>
                <w:szCs w:val="28"/>
              </w:rPr>
              <w:t>日</w:t>
            </w:r>
          </w:p>
        </w:tc>
      </w:tr>
    </w:tbl>
    <w:p>
      <w:pPr>
        <w:rPr>
          <w:rFonts w:hint="eastAsia" w:ascii="方正小标宋简体" w:hAnsi="华文中宋" w:eastAsia="方正小标宋简体" w:cs="华文中宋"/>
          <w:bCs/>
          <w:color w:val="000000"/>
          <w:sz w:val="44"/>
          <w:szCs w:val="44"/>
        </w:rPr>
        <w:sectPr>
          <w:headerReference r:id="rId6" w:type="first"/>
          <w:footerReference r:id="rId9" w:type="first"/>
          <w:headerReference r:id="rId4" w:type="default"/>
          <w:footerReference r:id="rId7" w:type="default"/>
          <w:headerReference r:id="rId5" w:type="even"/>
          <w:footerReference r:id="rId8" w:type="even"/>
          <w:pgSz w:w="11906" w:h="16838"/>
          <w:pgMar w:top="2098" w:right="1531" w:bottom="1814" w:left="1531" w:header="851" w:footer="1588" w:gutter="0"/>
          <w:pgNumType w:fmt="numberInDash"/>
          <w:cols w:space="720" w:num="1"/>
          <w:docGrid w:type="linesAndChars" w:linePitch="587" w:charSpace="-849"/>
        </w:sectPr>
      </w:pPr>
    </w:p>
    <w:p>
      <w:pPr>
        <w:tabs>
          <w:tab w:val="right" w:leader="middleDot" w:pos="8845"/>
        </w:tabs>
        <w:rPr>
          <w:rFonts w:hint="eastAsia" w:ascii="仿宋_GB2312" w:hAnsi="Calibri" w:eastAsia="仿宋_GB2312" w:cs="Times New Roman"/>
          <w:sz w:val="21"/>
          <w:szCs w:val="22"/>
        </w:rPr>
      </w:pPr>
    </w:p>
    <w:sectPr>
      <w:headerReference r:id="rId11" w:type="first"/>
      <w:headerReference r:id="rId10" w:type="default"/>
      <w:footerReference r:id="rId12" w:type="default"/>
      <w:footerReference r:id="rId13" w:type="even"/>
      <w:pgSz w:w="11906" w:h="16838"/>
      <w:pgMar w:top="1418" w:right="1701" w:bottom="1418"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auto"/>
    <w:pitch w:val="default"/>
    <w:sig w:usb0="00000000" w:usb1="00000000"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- 9 -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- 9 -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right"/>
      <w:rPr>
        <w:rFonts w:ascii="Calibri" w:hAnsi="Calibri" w:eastAsia="宋体" w:cs="Times New Roman"/>
        <w:kern w:val="2"/>
        <w:sz w:val="18"/>
        <w:szCs w:val="18"/>
        <w:lang w:val="en-US" w:eastAsia="zh-CN" w:bidi="ar-S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- 14 -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- 14 -</w:t>
                    </w:r>
                    <w:r>
                      <w:fldChar w:fldCharType="end"/>
                    </w:r>
                  </w:p>
                </w:txbxContent>
              </v:textbox>
            </v:shape>
          </w:pict>
        </mc:Fallback>
      </mc:AlternateContent>
    </w:r>
  </w:p>
  <w:p>
    <w:pPr>
      <w:widowControl w:val="0"/>
      <w:snapToGrid w:val="0"/>
      <w:jc w:val="left"/>
      <w:rPr>
        <w:rFonts w:ascii="Calibri" w:hAnsi="Calibri" w:eastAsia="宋体" w:cs="Times New Roman"/>
        <w:kern w:val="2"/>
        <w:sz w:val="18"/>
        <w:szCs w:val="18"/>
        <w:lang w:val="en-US" w:eastAsia="zh-CN" w:bidi="ar-S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widowControl w:val="0"/>
      <w:snapToGrid w:val="0"/>
      <w:jc w:val="left"/>
      <w:rPr>
        <w:rStyle w:val="11"/>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Style w:val="11"/>
        <w:rFonts w:ascii="Times New Roman" w:hAnsi="Times New Roman" w:eastAsia="宋体" w:cs="Times New Roman"/>
        <w:kern w:val="2"/>
        <w:sz w:val="18"/>
        <w:szCs w:val="18"/>
        <w:lang w:val="en-US" w:eastAsia="zh-CN" w:bidi="ar-SA"/>
      </w:rPr>
      <w:instrText xml:space="preserve">PAGE  </w:instrText>
    </w:r>
    <w:r>
      <w:rPr>
        <w:rFonts w:ascii="Calibri" w:hAnsi="Calibri" w:eastAsia="宋体" w:cs="Times New Roman"/>
        <w:kern w:val="2"/>
        <w:sz w:val="18"/>
        <w:szCs w:val="18"/>
        <w:lang w:val="en-US" w:eastAsia="zh-CN" w:bidi="ar-SA"/>
      </w:rPr>
      <w:fldChar w:fldCharType="end"/>
    </w:r>
  </w:p>
  <w:p>
    <w:pPr>
      <w:widowControl w:val="0"/>
      <w:snapToGrid w:val="0"/>
      <w:jc w:val="left"/>
      <w:rPr>
        <w:rFonts w:ascii="Calibri" w:hAnsi="Calibri"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center"/>
      <w:rPr>
        <w:rFonts w:ascii="Calibri" w:hAnsi="Calibri" w:eastAsia="宋体" w:cs="Times New Roman"/>
        <w:kern w:val="2"/>
        <w:sz w:val="18"/>
        <w:szCs w:val="18"/>
        <w:lang w:val="en-US" w:eastAsia="zh-CN" w:bidi="ar-S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jc w:val="both"/>
      <w:rPr>
        <w:rFonts w:ascii="Calibri" w:hAnsi="Calibri"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zYmZkNDVhOWRhNDVlMmZlMDUyYzQzYzc4NjhkZWIifQ=="/>
  </w:docVars>
  <w:rsids>
    <w:rsidRoot w:val="DEFBAC13"/>
    <w:rsid w:val="057E4DC5"/>
    <w:rsid w:val="05E6DE22"/>
    <w:rsid w:val="0A67BBE1"/>
    <w:rsid w:val="118115FD"/>
    <w:rsid w:val="146F6C6C"/>
    <w:rsid w:val="1E3F121D"/>
    <w:rsid w:val="1E850E73"/>
    <w:rsid w:val="1EDD4AF2"/>
    <w:rsid w:val="1FCB0775"/>
    <w:rsid w:val="28DBCB9C"/>
    <w:rsid w:val="2AFCA013"/>
    <w:rsid w:val="2BEC450E"/>
    <w:rsid w:val="2DBB1B6F"/>
    <w:rsid w:val="3A6E0A06"/>
    <w:rsid w:val="425E25BF"/>
    <w:rsid w:val="4D9055D7"/>
    <w:rsid w:val="57FFF51F"/>
    <w:rsid w:val="5DCF291E"/>
    <w:rsid w:val="5EBFC401"/>
    <w:rsid w:val="5FB3A2AE"/>
    <w:rsid w:val="5FFF9F9F"/>
    <w:rsid w:val="6CAD1DAA"/>
    <w:rsid w:val="6DEB3A23"/>
    <w:rsid w:val="6E7AF147"/>
    <w:rsid w:val="725F7498"/>
    <w:rsid w:val="7697CFFB"/>
    <w:rsid w:val="77FF7C4D"/>
    <w:rsid w:val="78DB278F"/>
    <w:rsid w:val="7AAAEA04"/>
    <w:rsid w:val="7BDD2786"/>
    <w:rsid w:val="7BFE9A9B"/>
    <w:rsid w:val="7CAD620E"/>
    <w:rsid w:val="7DBCCFC8"/>
    <w:rsid w:val="7DF76512"/>
    <w:rsid w:val="7E39F836"/>
    <w:rsid w:val="7E55995B"/>
    <w:rsid w:val="7E6F751D"/>
    <w:rsid w:val="7F2B10AC"/>
    <w:rsid w:val="7F75DCFA"/>
    <w:rsid w:val="7FB302EA"/>
    <w:rsid w:val="7FFC6F3D"/>
    <w:rsid w:val="87BB7EA7"/>
    <w:rsid w:val="BF25887B"/>
    <w:rsid w:val="BF7C06FB"/>
    <w:rsid w:val="BFFC3E36"/>
    <w:rsid w:val="D5FF864C"/>
    <w:rsid w:val="D77F0021"/>
    <w:rsid w:val="D7FEB374"/>
    <w:rsid w:val="DEEB7AC9"/>
    <w:rsid w:val="DEFBAC13"/>
    <w:rsid w:val="DFFF6F7C"/>
    <w:rsid w:val="DFFFD762"/>
    <w:rsid w:val="E1DB53F5"/>
    <w:rsid w:val="E9F67798"/>
    <w:rsid w:val="EE73B7D9"/>
    <w:rsid w:val="EF4567E1"/>
    <w:rsid w:val="F38F818A"/>
    <w:rsid w:val="F6C3C304"/>
    <w:rsid w:val="F9BF057C"/>
    <w:rsid w:val="FAFB01EC"/>
    <w:rsid w:val="FB99334B"/>
    <w:rsid w:val="FBFF261F"/>
    <w:rsid w:val="FCFEC4BC"/>
    <w:rsid w:val="FD5EE135"/>
    <w:rsid w:val="FDDF3F0A"/>
    <w:rsid w:val="FEA7DF4B"/>
    <w:rsid w:val="FEA962D1"/>
    <w:rsid w:val="FF1F1807"/>
    <w:rsid w:val="FF3F4D68"/>
    <w:rsid w:val="FF52AFD7"/>
    <w:rsid w:val="FFFFC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32"/>
      <w:lang w:val="en-US" w:eastAsia="zh-CN" w:bidi="ar-SA"/>
    </w:rPr>
  </w:style>
  <w:style w:type="paragraph" w:styleId="2">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2"/>
      <w:szCs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99"/>
    <w:pPr>
      <w:snapToGrid w:val="0"/>
      <w:spacing w:line="640" w:lineRule="exact"/>
      <w:ind w:firstLine="705"/>
    </w:pPr>
    <w:rPr>
      <w:rFonts w:ascii="仿宋_GB2312" w:eastAsia="仿宋_GB2312" w:cs="仿宋_GB2312"/>
      <w:color w:val="000000"/>
      <w:sz w:val="36"/>
      <w:szCs w:val="36"/>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paragraph" w:customStyle="1" w:styleId="13">
    <w:name w:val="正文1"/>
    <w:basedOn w:val="1"/>
    <w:qFormat/>
    <w:uiPriority w:val="0"/>
    <w:rPr>
      <w:szCs w:val="22"/>
    </w:rPr>
  </w:style>
  <w:style w:type="paragraph" w:customStyle="1" w:styleId="14">
    <w:name w:val="普通(网站) New"/>
    <w:qFormat/>
    <w:uiPriority w:val="0"/>
    <w:pPr>
      <w:widowControl/>
      <w:spacing w:before="100" w:beforeLines="0" w:beforeAutospacing="1" w:after="100" w:afterLines="0" w:afterAutospacing="1"/>
      <w:jc w:val="left"/>
    </w:pPr>
    <w:rPr>
      <w:rFonts w:ascii="宋体" w:hAnsi="宋体" w:eastAsia="宋体"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2607</Words>
  <Characters>2685</Characters>
  <Lines>0</Lines>
  <Paragraphs>0</Paragraphs>
  <TotalTime>80</TotalTime>
  <ScaleCrop>false</ScaleCrop>
  <LinksUpToDate>false</LinksUpToDate>
  <CharactersWithSpaces>3398</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2022-10-17T17:19:00Z</dcterms:created>
  <dc:creator>user</dc:creator>
  <cp:lastModifiedBy>user</cp:lastModifiedBy>
  <cp:lastPrinted>2022-11-09T16:53:00Z</cp:lastPrinted>
  <dcterms:modified xsi:type="dcterms:W3CDTF">2022-11-10T15:14:43Z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43BF6E06ED26498CB60D534F89C8647D</vt:lpwstr>
  </property>
</Properties>
</file>