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宋体" w:eastAsia="黑体"/>
          <w:lang w:eastAsia="zh-CN"/>
        </w:rPr>
      </w:pPr>
      <w:r>
        <w:rPr>
          <w:rFonts w:hint="eastAsia" w:ascii="黑体" w:hAnsi="宋体" w:eastAsia="黑体"/>
        </w:rPr>
        <w:t>附件</w:t>
      </w:r>
      <w:r>
        <w:rPr>
          <w:rFonts w:hint="eastAsia" w:ascii="黑体" w:hAnsi="宋体" w:eastAsia="黑体"/>
          <w:lang w:val="en-US" w:eastAsia="zh-CN"/>
        </w:rPr>
        <w:t>6</w:t>
      </w:r>
    </w:p>
    <w:p>
      <w:pPr>
        <w:pStyle w:val="7"/>
        <w:widowControl w:val="0"/>
        <w:overflowPunct w:val="0"/>
        <w:spacing w:before="0" w:beforeAutospacing="0" w:after="0" w:afterAutospacing="0" w:line="800" w:lineRule="exact"/>
        <w:ind w:firstLine="516" w:firstLineChars="100"/>
        <w:jc w:val="both"/>
        <w:rPr>
          <w:rFonts w:hint="eastAsia" w:ascii="方正小标宋简体" w:hAnsi="方正小标宋简体" w:eastAsia="方正小标宋简体" w:cs="方正小标宋简体"/>
          <w:bCs/>
          <w:snapToGrid w:val="0"/>
          <w:color w:val="000000"/>
          <w:sz w:val="52"/>
          <w:szCs w:val="52"/>
        </w:rPr>
      </w:pPr>
    </w:p>
    <w:p>
      <w:pPr>
        <w:pStyle w:val="7"/>
        <w:widowControl w:val="0"/>
        <w:overflowPunct w:val="0"/>
        <w:spacing w:before="0" w:beforeAutospacing="0" w:after="0" w:afterAutospacing="0" w:line="800" w:lineRule="exact"/>
        <w:ind w:firstLine="516" w:firstLineChars="100"/>
        <w:jc w:val="center"/>
        <w:rPr>
          <w:rFonts w:ascii="方正小标宋简体" w:hAnsi="方正小标宋简体" w:eastAsia="方正小标宋简体" w:cs="方正小标宋简体"/>
          <w:bCs/>
          <w:snapToGrid w:val="0"/>
          <w:color w:val="000000"/>
          <w:sz w:val="52"/>
          <w:szCs w:val="52"/>
        </w:rPr>
      </w:pPr>
      <w:r>
        <w:rPr>
          <w:rFonts w:hint="eastAsia" w:ascii="方正小标宋简体" w:hAnsi="方正小标宋简体" w:eastAsia="方正小标宋简体" w:cs="方正小标宋简体"/>
          <w:bCs/>
          <w:snapToGrid w:val="0"/>
          <w:color w:val="000000"/>
          <w:sz w:val="52"/>
          <w:szCs w:val="52"/>
        </w:rPr>
        <w:t>山东省资源综合利用先进单位</w:t>
      </w:r>
    </w:p>
    <w:p>
      <w:pPr>
        <w:pStyle w:val="7"/>
        <w:widowControl w:val="0"/>
        <w:overflowPunct w:val="0"/>
        <w:spacing w:before="0" w:beforeAutospacing="0" w:after="0" w:afterAutospacing="0" w:line="800" w:lineRule="exact"/>
        <w:jc w:val="center"/>
        <w:rPr>
          <w:rFonts w:ascii="方正小标宋简体" w:hAnsi="方正小标宋简体" w:eastAsia="方正小标宋简体" w:cs="方正小标宋简体"/>
          <w:bCs/>
          <w:snapToGrid w:val="0"/>
          <w:color w:val="000000"/>
          <w:sz w:val="52"/>
          <w:szCs w:val="52"/>
        </w:rPr>
      </w:pPr>
      <w:r>
        <w:rPr>
          <w:rFonts w:hint="eastAsia" w:ascii="方正小标宋简体" w:hAnsi="方正小标宋简体" w:eastAsia="方正小标宋简体" w:cs="方正小标宋简体"/>
          <w:bCs/>
          <w:snapToGrid w:val="0"/>
          <w:color w:val="000000"/>
          <w:sz w:val="52"/>
          <w:szCs w:val="52"/>
        </w:rPr>
        <w:t>推荐审批表</w:t>
      </w: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both"/>
        <w:rPr>
          <w:rFonts w:ascii="楷体_GB2312" w:hAnsi="宋体" w:eastAsia="楷体_GB2312"/>
          <w:sz w:val="36"/>
          <w:szCs w:val="36"/>
        </w:rPr>
      </w:pPr>
    </w:p>
    <w:p>
      <w:pPr>
        <w:pStyle w:val="6"/>
      </w:pPr>
    </w:p>
    <w:p>
      <w:pPr>
        <w:jc w:val="center"/>
        <w:rPr>
          <w:rFonts w:ascii="楷体_GB2312" w:hAnsi="宋体" w:eastAsia="楷体_GB2312"/>
          <w:sz w:val="36"/>
          <w:szCs w:val="36"/>
        </w:rPr>
      </w:pPr>
    </w:p>
    <w:p>
      <w:pPr>
        <w:ind w:firstLine="1896" w:firstLineChars="600"/>
        <w:jc w:val="left"/>
        <w:rPr>
          <w:rFonts w:hint="eastAsia" w:ascii="仿宋_GB2312" w:hAnsi="宋体" w:eastAsia="仿宋_GB2312"/>
          <w:u w:val="single"/>
          <w:lang w:val="en-US" w:eastAsia="zh-CN"/>
        </w:rPr>
      </w:pPr>
      <w:r>
        <w:rPr>
          <w:rFonts w:hint="eastAsia" w:ascii="仿宋_GB2312" w:hAnsi="宋体" w:eastAsia="仿宋_GB2312"/>
        </w:rPr>
        <w:t>单位名称</w:t>
      </w:r>
      <w:r>
        <w:rPr>
          <w:rFonts w:hint="eastAsia" w:ascii="仿宋_GB2312" w:hAnsi="宋体" w:eastAsia="仿宋_GB2312"/>
          <w:u w:val="single"/>
        </w:rPr>
        <w:t xml:space="preserve"> </w:t>
      </w:r>
      <w:r>
        <w:rPr>
          <w:rFonts w:hint="eastAsia" w:ascii="仿宋_GB2312" w:hAnsi="宋体" w:eastAsia="仿宋_GB2312"/>
          <w:u w:val="single"/>
          <w:lang w:val="en-US" w:eastAsia="zh-CN"/>
        </w:rPr>
        <w:t xml:space="preserve"> </w:t>
      </w:r>
      <w:r>
        <w:rPr>
          <w:rFonts w:hint="eastAsia" w:ascii="仿宋_GB2312" w:hAnsi="宋体" w:eastAsia="仿宋_GB2312"/>
          <w:u w:val="single"/>
        </w:rPr>
        <w:t xml:space="preserve">茌平信源环保建材有限公司 </w:t>
      </w:r>
      <w:r>
        <w:rPr>
          <w:rFonts w:hint="eastAsia" w:ascii="仿宋_GB2312" w:hAnsi="宋体" w:eastAsia="仿宋_GB2312"/>
          <w:u w:val="single"/>
          <w:lang w:val="en-US" w:eastAsia="zh-CN"/>
        </w:rPr>
        <w:t xml:space="preserve">   </w:t>
      </w:r>
    </w:p>
    <w:p>
      <w:pPr>
        <w:ind w:firstLine="1580" w:firstLineChars="500"/>
        <w:jc w:val="left"/>
        <w:rPr>
          <w:rFonts w:hint="eastAsia" w:ascii="仿宋_GB2312" w:hAnsi="宋体" w:eastAsia="仿宋_GB2312"/>
        </w:rPr>
      </w:pPr>
    </w:p>
    <w:p>
      <w:pPr>
        <w:ind w:firstLine="1896" w:firstLineChars="600"/>
        <w:jc w:val="left"/>
        <w:rPr>
          <w:rFonts w:hint="default" w:ascii="仿宋_GB2312" w:hAnsi="宋体" w:eastAsia="仿宋_GB2312"/>
          <w:u w:val="single"/>
          <w:lang w:val="en-US" w:eastAsia="zh-CN"/>
        </w:rPr>
      </w:pPr>
      <w:r>
        <w:rPr>
          <w:rFonts w:hint="eastAsia" w:ascii="仿宋_GB2312" w:hAnsi="宋体" w:eastAsia="仿宋_GB2312"/>
        </w:rPr>
        <w:t>推荐单位</w:t>
      </w:r>
      <w:r>
        <w:rPr>
          <w:rFonts w:hint="eastAsia" w:ascii="仿宋_GB2312" w:hAnsi="宋体" w:eastAsia="仿宋_GB2312"/>
          <w:u w:val="single"/>
        </w:rPr>
        <w:t xml:space="preserve">  </w:t>
      </w:r>
      <w:r>
        <w:rPr>
          <w:rFonts w:hint="eastAsia" w:ascii="仿宋_GB2312" w:hAnsi="宋体" w:eastAsia="仿宋_GB2312"/>
          <w:u w:val="single"/>
          <w:lang w:eastAsia="zh-CN"/>
        </w:rPr>
        <w:t>茌平区工业和信息化局</w:t>
      </w:r>
      <w:r>
        <w:rPr>
          <w:rFonts w:hint="eastAsia" w:ascii="仿宋_GB2312" w:hAnsi="宋体" w:eastAsia="仿宋_GB2312"/>
          <w:u w:val="single"/>
          <w:lang w:val="en-US" w:eastAsia="zh-CN"/>
        </w:rPr>
        <w:t xml:space="preserve">        </w:t>
      </w:r>
    </w:p>
    <w:p>
      <w:pPr>
        <w:ind w:left="316" w:hanging="316" w:hangingChars="100"/>
        <w:jc w:val="left"/>
        <w:rPr>
          <w:rFonts w:hint="eastAsia" w:ascii="仿宋_GB2312" w:hAnsi="宋体" w:eastAsia="仿宋_GB2312"/>
          <w:u w:val="single"/>
          <w:lang w:val="en-US" w:eastAsia="zh-CN"/>
        </w:rPr>
      </w:pPr>
    </w:p>
    <w:p>
      <w:pPr>
        <w:ind w:firstLine="3160" w:firstLineChars="1000"/>
        <w:jc w:val="left"/>
        <w:rPr>
          <w:rFonts w:hint="eastAsia" w:ascii="仿宋_GB2312" w:hAnsi="宋体" w:eastAsia="仿宋_GB2312"/>
          <w:u w:val="single"/>
          <w:lang w:val="en-US" w:eastAsia="zh-CN"/>
        </w:rPr>
      </w:pPr>
      <w:r>
        <w:rPr>
          <w:rFonts w:hint="eastAsia" w:ascii="仿宋_GB2312" w:hAnsi="宋体" w:eastAsia="仿宋_GB2312"/>
          <w:u w:val="single"/>
          <w:lang w:val="en-US" w:eastAsia="zh-CN"/>
        </w:rPr>
        <w:t xml:space="preserve">  茌平区人力资源和社会保障局</w:t>
      </w:r>
      <w:r>
        <w:rPr>
          <w:rFonts w:hint="eastAsia" w:ascii="仿宋_GB2312" w:hAnsi="宋体" w:eastAsia="仿宋_GB2312"/>
          <w:u w:val="single"/>
        </w:rPr>
        <w:t xml:space="preserve"> </w:t>
      </w:r>
      <w:r>
        <w:rPr>
          <w:rFonts w:hint="eastAsia" w:ascii="仿宋_GB2312" w:hAnsi="宋体" w:eastAsia="仿宋_GB2312"/>
          <w:u w:val="single"/>
          <w:lang w:val="en-US" w:eastAsia="zh-CN"/>
        </w:rPr>
        <w:t xml:space="preserve"> </w:t>
      </w:r>
    </w:p>
    <w:p>
      <w:pPr>
        <w:ind w:firstLine="2848" w:firstLineChars="800"/>
        <w:rPr>
          <w:rFonts w:ascii="宋体" w:hAnsi="宋体"/>
          <w:sz w:val="36"/>
          <w:szCs w:val="36"/>
        </w:rPr>
      </w:pPr>
    </w:p>
    <w:p>
      <w:pPr>
        <w:ind w:firstLine="5688" w:firstLineChars="1800"/>
        <w:rPr>
          <w:rFonts w:ascii="宋体" w:hAnsi="宋体"/>
          <w:sz w:val="36"/>
          <w:szCs w:val="36"/>
        </w:rPr>
      </w:pPr>
      <w:r>
        <w:rPr>
          <w:rFonts w:hint="eastAsia" w:ascii="仿宋_GB2312" w:hAnsi="仿宋_GB2312" w:eastAsia="仿宋_GB2312" w:cs="仿宋_GB2312"/>
          <w:lang w:val="en-US" w:eastAsia="zh-CN"/>
        </w:rPr>
        <w:t>2022</w:t>
      </w:r>
      <w:r>
        <w:rPr>
          <w:rFonts w:hint="eastAsia" w:ascii="仿宋_GB2312" w:hAnsi="仿宋_GB2312" w:eastAsia="仿宋_GB2312" w:cs="仿宋_GB2312"/>
        </w:rPr>
        <w:t xml:space="preserve">年 </w:t>
      </w:r>
      <w:r>
        <w:rPr>
          <w:rFonts w:hint="eastAsia" w:ascii="仿宋_GB2312" w:hAnsi="仿宋_GB2312" w:eastAsia="仿宋_GB2312" w:cs="仿宋_GB2312"/>
          <w:lang w:val="en-US" w:eastAsia="zh-CN"/>
        </w:rPr>
        <w:t>11</w:t>
      </w:r>
      <w:r>
        <w:rPr>
          <w:rFonts w:hint="eastAsia" w:ascii="仿宋_GB2312" w:hAnsi="仿宋_GB2312" w:eastAsia="仿宋_GB2312" w:cs="仿宋_GB2312"/>
        </w:rPr>
        <w:t xml:space="preserve">月 </w:t>
      </w:r>
      <w:r>
        <w:rPr>
          <w:rFonts w:hint="eastAsia" w:ascii="仿宋_GB2312" w:hAnsi="仿宋_GB2312" w:eastAsia="仿宋_GB2312" w:cs="仿宋_GB2312"/>
          <w:lang w:val="en-US" w:eastAsia="zh-CN"/>
        </w:rPr>
        <w:t>4</w:t>
      </w:r>
      <w:r>
        <w:rPr>
          <w:rFonts w:hint="eastAsia" w:ascii="仿宋_GB2312" w:hAnsi="仿宋_GB2312" w:eastAsia="仿宋_GB2312" w:cs="仿宋_GB2312"/>
        </w:rPr>
        <w:t>日</w:t>
      </w:r>
    </w:p>
    <w:p>
      <w:pPr>
        <w:jc w:val="center"/>
        <w:rPr>
          <w:rFonts w:ascii="黑体" w:hAnsi="宋体" w:eastAsia="黑体"/>
          <w:sz w:val="44"/>
          <w:szCs w:val="44"/>
        </w:rPr>
      </w:pPr>
      <w:r>
        <w:rPr>
          <w:rFonts w:hint="eastAsia" w:ascii="黑体" w:hAnsi="宋体" w:eastAsia="黑体"/>
          <w:sz w:val="44"/>
          <w:szCs w:val="44"/>
        </w:rPr>
        <w:t>填表说明</w:t>
      </w:r>
    </w:p>
    <w:p>
      <w:pPr>
        <w:rPr>
          <w:rFonts w:ascii="仿宋_GB2312" w:hAnsi="宋体" w:eastAsia="仿宋_GB2312"/>
        </w:rPr>
      </w:pPr>
      <w:r>
        <w:rPr>
          <w:rFonts w:hint="eastAsia" w:ascii="仿宋_GB2312" w:hAnsi="宋体" w:eastAsia="仿宋_GB2312"/>
        </w:rPr>
        <w:t xml:space="preserve">   </w:t>
      </w:r>
    </w:p>
    <w:p>
      <w:pPr>
        <w:tabs>
          <w:tab w:val="left" w:pos="0"/>
        </w:tabs>
        <w:ind w:firstLine="632" w:firstLineChars="200"/>
        <w:rPr>
          <w:rFonts w:ascii="仿宋_GB2312" w:hAnsi="宋体" w:eastAsia="仿宋_GB2312"/>
        </w:rPr>
      </w:pPr>
      <w:r>
        <w:rPr>
          <w:rFonts w:hint="eastAsia" w:ascii="仿宋_GB2312" w:hAnsi="宋体" w:eastAsia="仿宋_GB2312"/>
        </w:rPr>
        <w:t>一、</w:t>
      </w:r>
      <w:r>
        <w:rPr>
          <w:rFonts w:hint="eastAsia" w:ascii="仿宋_GB2312" w:eastAsia="仿宋_GB2312" w:cs="仿宋_GB2312"/>
          <w:snapToGrid w:val="0"/>
          <w:color w:val="000000"/>
          <w:szCs w:val="22"/>
        </w:rPr>
        <w:t>本表用打印方式填写，</w:t>
      </w:r>
      <w:r>
        <w:rPr>
          <w:rFonts w:hint="eastAsia" w:ascii="仿宋_GB2312" w:hAnsi="宋体" w:eastAsia="仿宋_GB2312"/>
        </w:rPr>
        <w:t>使用仿宋小四号字体，数字统一用阿拉伯数字。</w:t>
      </w:r>
    </w:p>
    <w:p>
      <w:pPr>
        <w:tabs>
          <w:tab w:val="left" w:pos="0"/>
        </w:tabs>
        <w:ind w:firstLine="632" w:firstLineChars="200"/>
        <w:rPr>
          <w:rFonts w:ascii="仿宋_GB2312" w:hAnsi="宋体" w:eastAsia="仿宋_GB2312"/>
        </w:rPr>
      </w:pPr>
      <w:r>
        <w:rPr>
          <w:rFonts w:hint="eastAsia" w:ascii="仿宋_GB2312" w:hAnsi="宋体" w:eastAsia="仿宋_GB2312"/>
        </w:rPr>
        <w:t>二、单位名称必须准确，所属单位填写全称，单位性质选填机关、事业单位、国有企业、集体企业、国有控股企业、民营企业、合资企业或其他。</w:t>
      </w:r>
    </w:p>
    <w:p>
      <w:pPr>
        <w:tabs>
          <w:tab w:val="left" w:pos="0"/>
        </w:tabs>
        <w:ind w:firstLine="632" w:firstLineChars="200"/>
        <w:rPr>
          <w:rFonts w:ascii="仿宋_GB2312" w:hAnsi="宋体" w:eastAsia="仿宋_GB2312"/>
        </w:rPr>
      </w:pPr>
      <w:r>
        <w:rPr>
          <w:rFonts w:hint="eastAsia" w:ascii="仿宋_GB2312" w:hAnsi="宋体" w:eastAsia="仿宋_GB2312"/>
        </w:rPr>
        <w:t>三、资源综合利用工作主要事迹和成果力求简明扼要，重点突出，条理清楚，字数要求2000字左右，可另行附页。</w:t>
      </w:r>
    </w:p>
    <w:p>
      <w:pPr>
        <w:rPr>
          <w:rFonts w:ascii="楷体_GB2312" w:hAnsi="宋体" w:eastAsia="楷体_GB2312"/>
        </w:rPr>
      </w:pPr>
      <w:bookmarkStart w:id="0" w:name="_GoBack"/>
      <w:bookmarkEnd w:id="0"/>
    </w:p>
    <w:p>
      <w:pPr>
        <w:jc w:val="center"/>
        <w:rPr>
          <w:rFonts w:ascii="楷体_GB2312" w:hAnsi="宋体" w:eastAsia="楷体_GB2312"/>
        </w:rPr>
      </w:pPr>
    </w:p>
    <w:p>
      <w:pPr>
        <w:jc w:val="center"/>
        <w:rPr>
          <w:rFonts w:ascii="楷体_GB2312" w:hAnsi="宋体" w:eastAsia="楷体_GB2312"/>
        </w:rPr>
      </w:pPr>
    </w:p>
    <w:p>
      <w:pPr>
        <w:spacing w:line="360" w:lineRule="auto"/>
        <w:jc w:val="center"/>
        <w:rPr>
          <w:rFonts w:ascii="楷体_GB2312" w:hAnsi="宋体" w:eastAsia="楷体_GB2312"/>
          <w:sz w:val="36"/>
          <w:szCs w:val="36"/>
        </w:rPr>
      </w:pPr>
    </w:p>
    <w:p>
      <w:pPr>
        <w:widowControl/>
        <w:spacing w:line="360" w:lineRule="auto"/>
        <w:jc w:val="left"/>
        <w:rPr>
          <w:rFonts w:ascii="楷体_GB2312" w:hAnsi="宋体" w:eastAsia="楷体_GB2312"/>
          <w:sz w:val="36"/>
          <w:szCs w:val="36"/>
        </w:rPr>
        <w:sectPr>
          <w:pgSz w:w="11906" w:h="16838"/>
          <w:pgMar w:top="2098" w:right="1531" w:bottom="1814" w:left="1531" w:header="851" w:footer="1588" w:gutter="0"/>
          <w:pgNumType w:fmt="numberInDash"/>
          <w:cols w:space="720" w:num="1"/>
          <w:docGrid w:type="linesAndChars" w:linePitch="587" w:charSpace="-849"/>
        </w:sectPr>
      </w:pPr>
    </w:p>
    <w:tbl>
      <w:tblPr>
        <w:tblStyle w:val="8"/>
        <w:tblW w:w="87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2890"/>
        <w:gridCol w:w="1731"/>
        <w:gridCol w:w="2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单位名称</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茌平信源环保建材有限公司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单位性质</w:t>
            </w:r>
          </w:p>
        </w:tc>
        <w:tc>
          <w:tcPr>
            <w:tcW w:w="28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民营企业</w:t>
            </w:r>
          </w:p>
        </w:tc>
        <w:tc>
          <w:tcPr>
            <w:tcW w:w="173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人数</w:t>
            </w:r>
          </w:p>
        </w:tc>
        <w:tc>
          <w:tcPr>
            <w:tcW w:w="263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542人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主要负责人</w:t>
            </w:r>
          </w:p>
        </w:tc>
        <w:tc>
          <w:tcPr>
            <w:tcW w:w="28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魏书杰</w:t>
            </w:r>
          </w:p>
        </w:tc>
        <w:tc>
          <w:tcPr>
            <w:tcW w:w="173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联系人及电话</w:t>
            </w:r>
          </w:p>
        </w:tc>
        <w:tc>
          <w:tcPr>
            <w:tcW w:w="263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13969581670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eastAsia="仿宋_GB2312"/>
                <w:sz w:val="24"/>
              </w:rPr>
              <w:t>电子邮箱</w:t>
            </w:r>
          </w:p>
        </w:tc>
        <w:tc>
          <w:tcPr>
            <w:tcW w:w="28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rPr>
            </w:pPr>
            <w:r>
              <w:rPr>
                <w:rFonts w:hint="eastAsia" w:ascii="仿宋_GB2312" w:hAnsi="宋体" w:eastAsia="仿宋_GB2312"/>
                <w:sz w:val="24"/>
                <w:lang w:val="en-US" w:eastAsia="zh-CN"/>
              </w:rPr>
              <w:t>13969581670@163.com</w:t>
            </w:r>
          </w:p>
        </w:tc>
        <w:tc>
          <w:tcPr>
            <w:tcW w:w="173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地址及邮编</w:t>
            </w:r>
          </w:p>
        </w:tc>
        <w:tc>
          <w:tcPr>
            <w:tcW w:w="2633" w:type="dxa"/>
            <w:tcBorders>
              <w:top w:val="single" w:color="auto" w:sz="4" w:space="0"/>
              <w:left w:val="single" w:color="auto" w:sz="4" w:space="0"/>
              <w:bottom w:val="single" w:color="auto" w:sz="4" w:space="0"/>
              <w:right w:val="single" w:color="auto" w:sz="4" w:space="0"/>
            </w:tcBorders>
            <w:vAlign w:val="center"/>
          </w:tcPr>
          <w:p>
            <w:pPr>
              <w:spacing w:line="440" w:lineRule="exact"/>
              <w:jc w:val="both"/>
              <w:rPr>
                <w:rFonts w:hint="default" w:ascii="仿宋_GB2312" w:hAnsi="宋体" w:eastAsia="仿宋_GB2312"/>
                <w:sz w:val="24"/>
                <w:lang w:val="en-US" w:eastAsia="zh-CN"/>
              </w:rPr>
            </w:pPr>
            <w:r>
              <w:rPr>
                <w:rFonts w:hint="eastAsia" w:ascii="仿宋_GB2312" w:hAnsi="宋体" w:eastAsia="仿宋_GB2312"/>
                <w:sz w:val="24"/>
              </w:rPr>
              <w:t>山东省聊城市茌平县信发街道济邯铁路北，老105国道西</w:t>
            </w:r>
            <w:r>
              <w:rPr>
                <w:rFonts w:hint="eastAsia" w:ascii="仿宋_GB2312" w:hAnsi="宋体" w:eastAsia="仿宋_GB2312"/>
                <w:sz w:val="24"/>
                <w:lang w:val="en-US" w:eastAsia="zh-CN"/>
              </w:rPr>
              <w:t>（邮编：252100）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eastAsia="仿宋_GB2312"/>
                <w:sz w:val="24"/>
              </w:rPr>
            </w:pPr>
            <w:r>
              <w:rPr>
                <w:rFonts w:hint="eastAsia" w:ascii="仿宋_GB2312" w:eastAsia="仿宋_GB2312"/>
                <w:sz w:val="24"/>
              </w:rPr>
              <w:t>拟授予称号</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szCs w:val="24"/>
              </w:rPr>
            </w:pPr>
            <w:r>
              <w:rPr>
                <w:rFonts w:hint="eastAsia" w:ascii="仿宋_GB2312" w:hAnsi="仿宋_GB2312" w:eastAsia="仿宋_GB2312" w:cs="仿宋_GB2312"/>
                <w:sz w:val="24"/>
                <w:szCs w:val="24"/>
              </w:rPr>
              <w:t>山东省</w:t>
            </w:r>
            <w:r>
              <w:rPr>
                <w:rFonts w:hint="eastAsia" w:ascii="仿宋_GB2312" w:eastAsia="仿宋_GB2312"/>
                <w:sz w:val="24"/>
                <w:szCs w:val="24"/>
              </w:rPr>
              <w:t>资源综合利用先进单位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单位简介</w:t>
            </w:r>
          </w:p>
          <w:p>
            <w:pPr>
              <w:spacing w:line="440" w:lineRule="exact"/>
              <w:jc w:val="center"/>
              <w:rPr>
                <w:rFonts w:ascii="仿宋_GB2312" w:hAnsi="宋体" w:eastAsia="仿宋_GB2312"/>
                <w:sz w:val="24"/>
              </w:rPr>
            </w:pPr>
            <w:r>
              <w:rPr>
                <w:rFonts w:hint="eastAsia" w:ascii="仿宋_GB2312" w:hAnsi="宋体" w:eastAsia="仿宋_GB2312"/>
                <w:sz w:val="24"/>
              </w:rPr>
              <w:t>（300字）</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茌平信源环保建材有限公司隶属于信发集团，成立于2017年7月，注册资本为壹亿元，现有员工 54</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人，是一家集工业副产废弃资源综合利用及粉煤灰蒸压环保砖、环保型蒸压加气混凝土砌块、绿色新型环保建材纸面石膏板研发生产销售于一体的科技环保型生产企业，产品广泛应用于建筑建材、陶瓷模具、工艺美术、精密铸造、医疗卫生等行业。公司开创了电力——建材全方位循环经济新模式，将粉煤灰、炉渣、电石渣等工业固废高效利用，真正打造绿色节能的循环经济，变废为宝。公司生产的环保型蒸压加气混凝土砌块于2020年被评为国家级绿色设计产品，2021年公司被评为省级绿色工厂。2021年公司固废综合利用量405.17万吨，实现销售收入93367万元、利润11023万元。</w:t>
            </w:r>
          </w:p>
          <w:p>
            <w:pPr>
              <w:spacing w:line="44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主要事迹和成果（2000字）</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公司积极响应“建设资源节约型、环境友好型社会”要求，践行“绿水青山就是金山银山”的发展理念,依托集团水、电、蒸汽等有利条件，大力发展循环经济,加强生态建设和环境保护。近年来,通过“建链、补链、强链”,不断完善循环经济,加大固废综合利用力度,达到“出灰不见灰、出渣不见渣、污染变资源”的目的，主要做法有以下四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以资源综合利用项目为依托，变废为宝。公司先后投资20余亿元实施年产4x70万m³粉煤灰加气混凝土砌块/加气混凝土板生产线、年产4x6000万块粉煤灰蒸压标砖生产线、2条6000万㎡纸面石膏板生产线以及年产200万吨建筑石膏粉等项目。其中蒸压砖固废含量100%，蒸压砌块固废含量75.3%，石膏粉固废含量100%，石膏板固废含量91.04%。其中蒸压砖固废含量100%，蒸压砌块固废含量75.3%，石膏粉固废含量100%，石膏板固废含量91.04%，项目全部投产后年消耗大宗固废脱硫石膏200万吨、粉煤灰176万吨，可实现年销售收入 25 亿元，实现税收 2.5 亿元。2019年砌块产量为1039442.58m³，蒸压砖产量为15141.3万块；2020年砌块产量为2364727.60m³，蒸压砖产量为17713.81万块；2021年砌块产量为2819653.764m³，蒸压砖产量为19668.67万块，石膏粉产量为992238.89t，石膏板产量为47622674.32㎡，实现真正意义上的废物综合利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工艺领先，制造智能，构建智能工厂。公司生产工艺先进，采用先进的智能化工艺流水线，对热电厂产生的脱硫石膏、粉煤灰等工业固废进行循环利用，采用工业互联网、工业大数据、数字化仿真、人工智能、智能装备、智能控制等先进技术手段，搭建绿色新型建筑材料生产线信息化、数字化、智能化的系统平台，推进智能装备、自动化控制、制造执行系统（MES）、资源计划管理系统(ERP)、智能物流装备等关键技术在绿色新型建筑材料生产制造过程的应用，将新一代信息技术贯穿于设计、生产、管理、运输等环节。工厂智能化水平国际先进，“绿色新型墙体材料智能工厂”入选山东省建材行业智能工厂五个典型案例之一。</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注重创新，研发永无止境，夯实软实力。茌平信源环保建材有限公司建立了专门从事技术研发的职能部门—技术研发中心，中心先后购置了国内领先的研发及检测设备153台套，研发固定资产原值达到1500万元。中心拥有各类专业技术人员52名，其中，研究生以上学历技术人员6人、高级专业技术人员13名，每年研发投入占销售收入的比重在3%-5%，同时公司坚持校企结合，共同发展的原则，与聊城大学、山东大学、山东建筑大学等签订有产学研项目合作协议。公司研发技术力量雄厚，在工业固体废弃物综合利用技术的研究、开发与应用方面均处于同行业领先水平，拥有聊城市工业固体废弃物资源综合利用重点实验室、山东省新型墙体材料科研实验基地等研发平台，是聊城市知识产权保护重点联系单位。公司现有国家实用新型专利31项，已全部应用到生产线，参与起草GB/T39701-2020、GB/T39706-2020两项国家标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加强管理，借力信息化，提升产品质量。公司建立了完善的质量管理体系、产品质量检测控制体系和销售服务体系，所有产品通过权威质量单位检测，产品的各项技术指标均符合或高于国家标准、国家规定的各项技术要求。公司申请商标“茌山”1项，产品引入了生态设计理念，为稳定产品质量，企业生产采用机器人、机器视觉、AGV、智能配料系统等技术装备完成自动化生产的闭环，实现了从原料精准制备、成型、干燥、质量在线控制、自动化包装和自动装车发运全流程的智能化生产；通过建设数据采集及可视化系统，工业互联网内网、大数据中心和智慧管理平台，完成了对ERP、MES、DCS等多系统的融合应用，实现透明化、可视化、智能化的生产管理和运营决策。主要产品获得山东省建筑节能科学技术奖三等奖、“国家绿色设计产品”荣誉称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近年来在各级政府的领导下、在各部门的支持下，公司被评为国家资源综合利用“双百工程”骨干企业、国家大宗固体废弃物综合利用基地、国家级高新技术企业，公司生产的蒸压加气混凝土砌块荣获国家绿色设计产品荣誉称号。2019年成功举办“第十四届全国石膏技术交流大会暨展览会”、荣获山东省循环经济科学技术奖三等奖。公司并顺利通过ISO9001质量、ISO14001环境、OHSAS18001职业健康安全和ISO50001能源四体系认证。2020年被评选为山东省环保绩效引领性企业、山东省建筑节能协会副会长单位、山东省新型墙体材料科研实验基地、省级两化融合管理体系贯标试点企业，荣获全国石膏行业突出贡献奖。2021年被评选为山东省“专精特新”中小企业、山东省绿色工厂、蒸压加气混凝土砌块被评为2021年山东省单项冠军产品、荣获利废新材料示范企业荣誉称号，公司生产的纸面石膏板、蒸压加气混凝土砌块、蒸压粉煤灰砖三种产品通过了国家绿色建材三星级认证。</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sz w:val="24"/>
              </w:rPr>
            </w:pPr>
            <w:r>
              <w:rPr>
                <w:rFonts w:hint="eastAsia" w:ascii="仿宋_GB2312" w:hAnsi="仿宋_GB2312" w:eastAsia="仿宋_GB2312" w:cs="仿宋_GB2312"/>
                <w:sz w:val="24"/>
                <w:szCs w:val="24"/>
                <w:lang w:val="en-US" w:eastAsia="zh-CN"/>
              </w:rPr>
              <w:t>公司将始终秉持“质量第一、信誉至上、环保发展”的理念，发挥产业链优势，创造最佳经济、社会和环境效益，完善信发集团循环经济产业链条，继续加大资源综合利用和管理力度，努力成为区域发展新的经济增长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县级人力资源社会保障部门、工业和信息化部门推荐意见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市级人力资源社会保障部门、工业和信息化部门推荐意见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_GB2312" w:hAnsi="宋体" w:eastAsia="仿宋_GB2312"/>
                <w:sz w:val="24"/>
              </w:rPr>
            </w:pPr>
          </w:p>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省人力资源社会保障厅、省工业和信息化厅审核意见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eastAsia="仿宋_GB2312"/>
                <w:sz w:val="28"/>
                <w:szCs w:val="28"/>
              </w:rPr>
            </w:pPr>
            <w:r>
              <w:rPr>
                <w:rFonts w:hint="eastAsia" w:ascii="仿宋_GB2312" w:eastAsia="仿宋_GB2312"/>
                <w:sz w:val="28"/>
                <w:szCs w:val="28"/>
              </w:rPr>
              <w:t xml:space="preserve">                                   </w:t>
            </w:r>
          </w:p>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省政府审批意见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bl>
    <w:p>
      <w:pPr>
        <w:jc w:val="left"/>
        <w:rPr>
          <w:rFonts w:hint="eastAsia" w:ascii="黑体" w:eastAsia="黑体"/>
        </w:rPr>
      </w:pPr>
    </w:p>
    <w:p>
      <w:pPr>
        <w:spacing w:line="300" w:lineRule="exact"/>
        <w:ind w:left="943" w:hanging="960" w:hangingChars="400"/>
        <w:rPr>
          <w:rFonts w:ascii="楷体" w:hAnsi="楷体" w:eastAsia="楷体" w:cs="仿宋_GB2312"/>
          <w:sz w:val="24"/>
        </w:rPr>
      </w:pPr>
    </w:p>
    <w:p>
      <w:pPr>
        <w:tabs>
          <w:tab w:val="right" w:leader="middleDot" w:pos="8845"/>
        </w:tabs>
        <w:rPr>
          <w:rFonts w:hint="eastAsia" w:ascii="Times New Roman" w:hAnsi="Times New Roman" w:eastAsia="宋体" w:cs="Times New Roman"/>
          <w:kern w:val="2"/>
          <w:sz w:val="32"/>
          <w:szCs w:val="32"/>
          <w:lang w:val="en-US" w:eastAsia="zh-CN" w:bidi="ar-SA"/>
        </w:rPr>
      </w:pPr>
    </w:p>
    <w:sectPr>
      <w:headerReference r:id="rId4" w:type="first"/>
      <w:headerReference r:id="rId3" w:type="default"/>
      <w:footerReference r:id="rId5" w:type="default"/>
      <w:footerReference r:id="rId6" w:type="even"/>
      <w:pgSz w:w="11906" w:h="16838"/>
      <w:pgMar w:top="1418" w:right="1701" w:bottom="1418"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right"/>
      <w:rPr>
        <w:rFonts w:ascii="Calibri" w:hAnsi="Calibri" w:eastAsia="宋体" w:cs="Times New Roman"/>
        <w:kern w:val="2"/>
        <w:sz w:val="18"/>
        <w:szCs w:val="18"/>
        <w:lang w:val="en-US" w:eastAsia="zh-CN" w:bidi="ar-SA"/>
      </w:rPr>
    </w:pPr>
  </w:p>
  <w:p>
    <w:pPr>
      <w:widowControl w:val="0"/>
      <w:snapToGrid w:val="0"/>
      <w:jc w:val="left"/>
      <w:rPr>
        <w:rFonts w:ascii="Calibri" w:hAnsi="Calibri"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widowControl w:val="0"/>
      <w:snapToGrid w:val="0"/>
      <w:jc w:val="left"/>
      <w:rPr>
        <w:rStyle w:val="10"/>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Style w:val="10"/>
        <w:rFonts w:ascii="Times New Roman" w:hAnsi="Times New Roman" w:eastAsia="宋体" w:cs="Times New Roman"/>
        <w:kern w:val="2"/>
        <w:sz w:val="18"/>
        <w:szCs w:val="18"/>
        <w:lang w:val="en-US" w:eastAsia="zh-CN" w:bidi="ar-SA"/>
      </w:rPr>
      <w:instrText xml:space="preserve">PAGE  </w:instrText>
    </w:r>
    <w:r>
      <w:rPr>
        <w:rFonts w:ascii="Calibri" w:hAnsi="Calibri" w:eastAsia="宋体" w:cs="Times New Roman"/>
        <w:kern w:val="2"/>
        <w:sz w:val="18"/>
        <w:szCs w:val="18"/>
        <w:lang w:val="en-US" w:eastAsia="zh-CN" w:bidi="ar-SA"/>
      </w:rPr>
      <w:fldChar w:fldCharType="end"/>
    </w:r>
  </w:p>
  <w:p>
    <w:pPr>
      <w:widowControl w:val="0"/>
      <w:snapToGrid w:val="0"/>
      <w:jc w:val="left"/>
      <w:rPr>
        <w:rFonts w:ascii="Calibri" w:hAnsi="Calibri"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center"/>
      <w:rPr>
        <w:rFonts w:ascii="Calibri" w:hAnsi="Calibri"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jc w:val="both"/>
      <w:rPr>
        <w:rFonts w:ascii="Calibri" w:hAnsi="Calibri"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lZDdkODI5NTgxNWI0M2RmMGY0NzIzM2Q0ZGU5MTgifQ=="/>
  </w:docVars>
  <w:rsids>
    <w:rsidRoot w:val="DEFBAC13"/>
    <w:rsid w:val="057E4DC5"/>
    <w:rsid w:val="0A67BBE1"/>
    <w:rsid w:val="118115FD"/>
    <w:rsid w:val="146F6C6C"/>
    <w:rsid w:val="18BB38C2"/>
    <w:rsid w:val="1E850E73"/>
    <w:rsid w:val="1FCB0775"/>
    <w:rsid w:val="23A85188"/>
    <w:rsid w:val="286D0B1E"/>
    <w:rsid w:val="2FB341BB"/>
    <w:rsid w:val="30915A7F"/>
    <w:rsid w:val="329919AB"/>
    <w:rsid w:val="39BA12C6"/>
    <w:rsid w:val="3A6E0A06"/>
    <w:rsid w:val="41332669"/>
    <w:rsid w:val="421A3B26"/>
    <w:rsid w:val="4C1E2465"/>
    <w:rsid w:val="4D9055D7"/>
    <w:rsid w:val="5325447B"/>
    <w:rsid w:val="586C6156"/>
    <w:rsid w:val="5EBFC401"/>
    <w:rsid w:val="5FFF9F9F"/>
    <w:rsid w:val="696A6892"/>
    <w:rsid w:val="6BF571B5"/>
    <w:rsid w:val="6CAD1DAA"/>
    <w:rsid w:val="725F7498"/>
    <w:rsid w:val="74943D6A"/>
    <w:rsid w:val="752C70F1"/>
    <w:rsid w:val="78DB278F"/>
    <w:rsid w:val="7C7FBACE"/>
    <w:rsid w:val="7CE54D48"/>
    <w:rsid w:val="7EA6AE19"/>
    <w:rsid w:val="7F9AACE6"/>
    <w:rsid w:val="7FB302EA"/>
    <w:rsid w:val="ADEF7F58"/>
    <w:rsid w:val="B27D40FC"/>
    <w:rsid w:val="B7AC58B1"/>
    <w:rsid w:val="BE7F246C"/>
    <w:rsid w:val="CB1F9320"/>
    <w:rsid w:val="CFFF3184"/>
    <w:rsid w:val="DEFBAC13"/>
    <w:rsid w:val="DFFF4024"/>
    <w:rsid w:val="FB99334B"/>
    <w:rsid w:val="FD5EE135"/>
    <w:rsid w:val="FFFEE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32"/>
      <w:lang w:val="en-US" w:eastAsia="zh-CN" w:bidi="ar-SA"/>
    </w:rPr>
  </w:style>
  <w:style w:type="paragraph" w:styleId="2">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2"/>
      <w:szCs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99"/>
    <w:pPr>
      <w:snapToGrid w:val="0"/>
      <w:spacing w:line="640" w:lineRule="exact"/>
      <w:ind w:firstLine="705"/>
    </w:pPr>
    <w:rPr>
      <w:rFonts w:ascii="仿宋_GB2312" w:eastAsia="仿宋_GB2312" w:cs="仿宋_GB2312"/>
      <w:color w:val="000000"/>
      <w:sz w:val="36"/>
      <w:szCs w:val="36"/>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0">
    <w:name w:val="page number"/>
    <w:basedOn w:val="9"/>
    <w:qFormat/>
    <w:uiPriority w:val="0"/>
  </w:style>
  <w:style w:type="character" w:styleId="11">
    <w:name w:val="Hyperlink"/>
    <w:basedOn w:val="9"/>
    <w:qFormat/>
    <w:uiPriority w:val="0"/>
    <w:rPr>
      <w:color w:val="0000FF"/>
      <w:u w:val="single"/>
    </w:rPr>
  </w:style>
  <w:style w:type="paragraph" w:customStyle="1" w:styleId="12">
    <w:name w:val="正文1"/>
    <w:basedOn w:val="1"/>
    <w:qFormat/>
    <w:uiPriority w:val="0"/>
    <w:rPr>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4856</Words>
  <Characters>5233</Characters>
  <Lines>0</Lines>
  <Paragraphs>0</Paragraphs>
  <TotalTime>0</TotalTime>
  <ScaleCrop>false</ScaleCrop>
  <LinksUpToDate>false</LinksUpToDate>
  <CharactersWithSpaces>5844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2022-10-16T09:19:00Z</dcterms:created>
  <dc:creator>user</dc:creator>
  <cp:lastModifiedBy>user</cp:lastModifiedBy>
  <dcterms:modified xsi:type="dcterms:W3CDTF">2022-11-10T15:59:34Z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319F720BBEDE45AE9E2E2A0A5DB30FA3</vt:lpwstr>
  </property>
</Properties>
</file>